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43" w:rsidRDefault="00B51E43">
      <w:pPr>
        <w:spacing w:line="600" w:lineRule="exact"/>
        <w:jc w:val="center"/>
        <w:outlineLvl w:val="0"/>
        <w:rPr>
          <w:rFonts w:ascii="方正小标宋简体" w:eastAsia="方正小标宋简体" w:hAnsi="宋体"/>
          <w:sz w:val="72"/>
          <w:szCs w:val="72"/>
        </w:rPr>
      </w:pPr>
      <w:bookmarkStart w:id="0" w:name="_Toc15306267"/>
    </w:p>
    <w:p w:rsidR="00B51E43" w:rsidRDefault="00B51E43">
      <w:pPr>
        <w:spacing w:line="600" w:lineRule="exact"/>
        <w:jc w:val="center"/>
        <w:outlineLvl w:val="0"/>
        <w:rPr>
          <w:rFonts w:ascii="方正小标宋简体" w:eastAsia="方正小标宋简体" w:hAnsi="宋体"/>
          <w:sz w:val="72"/>
          <w:szCs w:val="72"/>
        </w:rPr>
      </w:pPr>
    </w:p>
    <w:p w:rsidR="00B51E43" w:rsidRDefault="00B51E43">
      <w:pPr>
        <w:spacing w:line="600" w:lineRule="exact"/>
        <w:jc w:val="center"/>
        <w:outlineLvl w:val="0"/>
        <w:rPr>
          <w:rFonts w:ascii="方正小标宋简体" w:eastAsia="方正小标宋简体" w:hAnsi="宋体"/>
          <w:sz w:val="72"/>
          <w:szCs w:val="72"/>
        </w:rPr>
      </w:pPr>
    </w:p>
    <w:p w:rsidR="00B51E43" w:rsidRDefault="00B51E43">
      <w:pPr>
        <w:spacing w:line="600" w:lineRule="exact"/>
        <w:jc w:val="center"/>
        <w:outlineLvl w:val="0"/>
        <w:rPr>
          <w:rFonts w:ascii="方正小标宋简体" w:eastAsia="方正小标宋简体" w:hAnsi="宋体"/>
          <w:sz w:val="72"/>
          <w:szCs w:val="72"/>
        </w:rPr>
      </w:pPr>
    </w:p>
    <w:p w:rsidR="00B51E43" w:rsidRPr="00B51E43" w:rsidRDefault="00B51E43">
      <w:pPr>
        <w:adjustRightInd w:val="0"/>
        <w:snapToGrid w:val="0"/>
        <w:spacing w:line="360" w:lineRule="auto"/>
        <w:jc w:val="center"/>
        <w:outlineLvl w:val="0"/>
        <w:rPr>
          <w:rFonts w:ascii="方正小标宋简体" w:eastAsia="方正小标宋简体" w:hAnsi="方正小标宋简体" w:cs="方正小标宋简体"/>
          <w:sz w:val="48"/>
          <w:szCs w:val="48"/>
        </w:rPr>
      </w:pPr>
      <w:bookmarkStart w:id="1" w:name="_Toc15377193"/>
      <w:bookmarkStart w:id="2" w:name="_Toc15378441"/>
      <w:bookmarkStart w:id="3" w:name="_Toc15396597"/>
      <w:bookmarkStart w:id="4" w:name="_Toc15396475"/>
      <w:bookmarkStart w:id="5" w:name="_Toc15377425"/>
      <w:r w:rsidRPr="00B51E43">
        <w:rPr>
          <w:rFonts w:ascii="方正小标宋简体" w:eastAsia="方正小标宋简体" w:hAnsi="方正小标宋简体" w:cs="方正小标宋简体" w:hint="eastAsia"/>
          <w:sz w:val="48"/>
          <w:szCs w:val="48"/>
        </w:rPr>
        <w:t>2021年度</w:t>
      </w:r>
      <w:bookmarkEnd w:id="1"/>
      <w:bookmarkEnd w:id="2"/>
      <w:bookmarkEnd w:id="3"/>
      <w:bookmarkEnd w:id="4"/>
      <w:bookmarkEnd w:id="5"/>
    </w:p>
    <w:p w:rsidR="00B51E43" w:rsidRDefault="00B51E43">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6" w:name="_Toc15396598"/>
      <w:bookmarkStart w:id="7" w:name="_Toc15377426"/>
      <w:bookmarkStart w:id="8" w:name="_Toc15396476"/>
      <w:bookmarkStart w:id="9" w:name="_Toc15378442"/>
      <w:bookmarkStart w:id="10" w:name="_Toc15377194"/>
      <w:bookmarkStart w:id="11" w:name="_Toc15306268"/>
      <w:bookmarkEnd w:id="0"/>
      <w:r w:rsidRPr="00B51E43">
        <w:rPr>
          <w:rFonts w:ascii="方正小标宋简体" w:eastAsia="方正小标宋简体" w:hAnsi="方正小标宋简体" w:cs="方正小标宋简体" w:hint="eastAsia"/>
          <w:sz w:val="52"/>
          <w:szCs w:val="52"/>
        </w:rPr>
        <w:t>四川省地质矿产勘查开发局</w:t>
      </w:r>
    </w:p>
    <w:p w:rsidR="00B51E43" w:rsidRDefault="00B51E43">
      <w:pPr>
        <w:adjustRightInd w:val="0"/>
        <w:snapToGrid w:val="0"/>
        <w:spacing w:line="360" w:lineRule="auto"/>
        <w:jc w:val="center"/>
        <w:outlineLvl w:val="0"/>
        <w:rPr>
          <w:rFonts w:ascii="方正小标宋简体" w:eastAsia="方正小标宋简体" w:hAnsi="方正小标宋简体" w:cs="方正小标宋简体"/>
          <w:sz w:val="52"/>
          <w:szCs w:val="52"/>
        </w:rPr>
      </w:pPr>
      <w:r w:rsidRPr="00B51E43">
        <w:rPr>
          <w:rFonts w:ascii="方正小标宋简体" w:eastAsia="方正小标宋简体" w:hAnsi="方正小标宋简体" w:cs="方正小标宋简体" w:hint="eastAsia"/>
          <w:sz w:val="52"/>
          <w:szCs w:val="52"/>
        </w:rPr>
        <w:t>成都修配厂</w:t>
      </w:r>
    </w:p>
    <w:p w:rsidR="009679CE" w:rsidRDefault="00B51E43">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单位决算</w:t>
      </w:r>
      <w:bookmarkEnd w:id="6"/>
      <w:bookmarkEnd w:id="7"/>
      <w:bookmarkEnd w:id="8"/>
      <w:bookmarkEnd w:id="9"/>
      <w:bookmarkEnd w:id="10"/>
      <w:bookmarkEnd w:id="11"/>
    </w:p>
    <w:p w:rsidR="009679CE" w:rsidRDefault="00857F15">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9679CE" w:rsidRDefault="009679CE">
      <w:pPr>
        <w:widowControl/>
        <w:jc w:val="center"/>
        <w:rPr>
          <w:rFonts w:ascii="黑体" w:eastAsia="黑体" w:hAnsi="黑体" w:cstheme="minorBidi"/>
          <w:sz w:val="28"/>
          <w:szCs w:val="28"/>
        </w:rPr>
      </w:pPr>
    </w:p>
    <w:p w:rsidR="009679CE" w:rsidRDefault="00857F15">
      <w:pPr>
        <w:pStyle w:val="10"/>
      </w:pPr>
      <w:r>
        <w:rPr>
          <w:rFonts w:hint="eastAsia"/>
        </w:rPr>
        <w:t>公开时间：2022年9月9日</w:t>
      </w:r>
    </w:p>
    <w:p w:rsidR="009679CE" w:rsidRDefault="009679CE"/>
    <w:p w:rsidR="009679CE" w:rsidRDefault="00857F15">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rsidR="009679CE" w:rsidRDefault="00857F15">
      <w:pPr>
        <w:pStyle w:val="20"/>
        <w:adjustRightInd w:val="0"/>
        <w:snapToGrid w:val="0"/>
        <w:spacing w:line="440" w:lineRule="exact"/>
        <w:jc w:val="left"/>
        <w:rPr>
          <w:sz w:val="24"/>
        </w:rPr>
      </w:pPr>
      <w:r>
        <w:rPr>
          <w:rFonts w:hint="eastAsia"/>
          <w:sz w:val="24"/>
        </w:rPr>
        <w:t>一、职能简介</w:t>
      </w:r>
    </w:p>
    <w:p w:rsidR="009679CE" w:rsidRDefault="00857F1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二、2021年重点工作完成情况</w:t>
      </w:r>
    </w:p>
    <w:p w:rsidR="009679CE" w:rsidRDefault="00857F15">
      <w:pPr>
        <w:pStyle w:val="10"/>
        <w:adjustRightInd w:val="0"/>
        <w:snapToGrid w:val="0"/>
        <w:spacing w:before="0" w:line="440" w:lineRule="exact"/>
        <w:jc w:val="left"/>
        <w:rPr>
          <w:sz w:val="24"/>
          <w:szCs w:val="24"/>
        </w:rPr>
      </w:pPr>
      <w:r>
        <w:rPr>
          <w:rFonts w:hint="eastAsia"/>
          <w:sz w:val="24"/>
        </w:rPr>
        <w:t>第二部分 2021年度单位决算情况说明</w:t>
      </w:r>
    </w:p>
    <w:p w:rsidR="009679CE" w:rsidRDefault="00857F15">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9679CE" w:rsidRDefault="00857F15">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9679CE" w:rsidRDefault="00857F15">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9679CE" w:rsidRDefault="00857F15">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9679CE" w:rsidRDefault="00857F15">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9679CE" w:rsidRDefault="00857F15">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9679CE" w:rsidRDefault="00857F15">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p>
    <w:p w:rsidR="009679CE" w:rsidRDefault="00857F15">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9679CE" w:rsidRDefault="00857F15">
      <w:pPr>
        <w:pStyle w:val="20"/>
        <w:adjustRightInd w:val="0"/>
        <w:snapToGrid w:val="0"/>
        <w:spacing w:line="440" w:lineRule="exact"/>
        <w:jc w:val="left"/>
        <w:rPr>
          <w:sz w:val="24"/>
        </w:rPr>
      </w:pPr>
      <w:r>
        <w:rPr>
          <w:rFonts w:hint="eastAsia"/>
          <w:sz w:val="24"/>
        </w:rPr>
        <w:t>九、国有资本经营预算支出决算情况说明</w:t>
      </w:r>
    </w:p>
    <w:p w:rsidR="009679CE" w:rsidRDefault="00857F15">
      <w:pPr>
        <w:pStyle w:val="20"/>
        <w:adjustRightInd w:val="0"/>
        <w:snapToGrid w:val="0"/>
        <w:spacing w:line="440" w:lineRule="exact"/>
        <w:jc w:val="left"/>
        <w:rPr>
          <w:sz w:val="24"/>
        </w:rPr>
      </w:pPr>
      <w:r>
        <w:rPr>
          <w:rFonts w:hint="eastAsia"/>
          <w:sz w:val="24"/>
        </w:rPr>
        <w:t>十、其他重要事项的情况说明</w:t>
      </w:r>
    </w:p>
    <w:p w:rsidR="009679CE" w:rsidRDefault="00857F15">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9679CE" w:rsidRDefault="00857F15">
      <w:pPr>
        <w:pStyle w:val="10"/>
        <w:adjustRightInd w:val="0"/>
        <w:snapToGrid w:val="0"/>
        <w:spacing w:before="0" w:line="440" w:lineRule="exact"/>
        <w:jc w:val="left"/>
        <w:rPr>
          <w:rFonts w:cstheme="minorBidi"/>
          <w:sz w:val="24"/>
          <w:szCs w:val="24"/>
        </w:rPr>
      </w:pPr>
      <w:r>
        <w:rPr>
          <w:rFonts w:hint="eastAsia"/>
          <w:sz w:val="24"/>
        </w:rPr>
        <w:t>第</w:t>
      </w:r>
      <w:r w:rsidR="00AD3877">
        <w:rPr>
          <w:rFonts w:hint="eastAsia"/>
          <w:sz w:val="24"/>
        </w:rPr>
        <w:t>四</w:t>
      </w:r>
      <w:r>
        <w:rPr>
          <w:rFonts w:hint="eastAsia"/>
          <w:sz w:val="24"/>
        </w:rPr>
        <w:t>部分</w:t>
      </w:r>
      <w:r>
        <w:rPr>
          <w:sz w:val="24"/>
        </w:rPr>
        <w:t xml:space="preserve"> </w:t>
      </w:r>
      <w:r>
        <w:rPr>
          <w:rFonts w:hint="eastAsia"/>
          <w:sz w:val="24"/>
        </w:rPr>
        <w:t>附表</w:t>
      </w:r>
    </w:p>
    <w:p w:rsidR="009679CE" w:rsidRDefault="00857F15">
      <w:pPr>
        <w:pStyle w:val="20"/>
        <w:adjustRightInd w:val="0"/>
        <w:snapToGrid w:val="0"/>
        <w:spacing w:line="440" w:lineRule="exact"/>
        <w:jc w:val="left"/>
        <w:rPr>
          <w:sz w:val="24"/>
        </w:rPr>
      </w:pPr>
      <w:r>
        <w:rPr>
          <w:rFonts w:hint="eastAsia"/>
          <w:sz w:val="24"/>
        </w:rPr>
        <w:t>一、收入支出决算总表</w:t>
      </w:r>
    </w:p>
    <w:p w:rsidR="009679CE" w:rsidRDefault="00857F15">
      <w:pPr>
        <w:pStyle w:val="20"/>
        <w:adjustRightInd w:val="0"/>
        <w:snapToGrid w:val="0"/>
        <w:spacing w:line="440" w:lineRule="exact"/>
        <w:jc w:val="left"/>
        <w:rPr>
          <w:sz w:val="24"/>
        </w:rPr>
      </w:pPr>
      <w:r>
        <w:rPr>
          <w:rFonts w:hint="eastAsia"/>
          <w:sz w:val="24"/>
        </w:rPr>
        <w:t>二、收入决算表</w:t>
      </w:r>
    </w:p>
    <w:p w:rsidR="009679CE" w:rsidRDefault="00857F15">
      <w:pPr>
        <w:pStyle w:val="20"/>
        <w:adjustRightInd w:val="0"/>
        <w:snapToGrid w:val="0"/>
        <w:spacing w:line="440" w:lineRule="exact"/>
        <w:jc w:val="left"/>
        <w:rPr>
          <w:sz w:val="24"/>
        </w:rPr>
      </w:pPr>
      <w:r>
        <w:rPr>
          <w:rFonts w:hint="eastAsia"/>
          <w:sz w:val="24"/>
        </w:rPr>
        <w:t>三、支出决算表</w:t>
      </w:r>
    </w:p>
    <w:p w:rsidR="009679CE" w:rsidRDefault="00857F15">
      <w:pPr>
        <w:pStyle w:val="20"/>
        <w:adjustRightInd w:val="0"/>
        <w:snapToGrid w:val="0"/>
        <w:spacing w:line="440" w:lineRule="exact"/>
        <w:jc w:val="left"/>
        <w:rPr>
          <w:sz w:val="24"/>
        </w:rPr>
      </w:pPr>
      <w:r>
        <w:rPr>
          <w:rFonts w:hint="eastAsia"/>
          <w:sz w:val="24"/>
        </w:rPr>
        <w:t>四、财政拨款收入支出决算总表</w:t>
      </w:r>
    </w:p>
    <w:p w:rsidR="009679CE" w:rsidRDefault="00857F15">
      <w:pPr>
        <w:pStyle w:val="20"/>
        <w:adjustRightInd w:val="0"/>
        <w:snapToGrid w:val="0"/>
        <w:spacing w:line="440" w:lineRule="exact"/>
        <w:jc w:val="left"/>
        <w:rPr>
          <w:sz w:val="24"/>
        </w:rPr>
      </w:pPr>
      <w:r>
        <w:rPr>
          <w:rFonts w:hint="eastAsia"/>
          <w:sz w:val="24"/>
        </w:rPr>
        <w:t>五、财政拨款支出决算明细表</w:t>
      </w:r>
    </w:p>
    <w:p w:rsidR="009679CE" w:rsidRDefault="00857F15">
      <w:pPr>
        <w:pStyle w:val="20"/>
        <w:adjustRightInd w:val="0"/>
        <w:snapToGrid w:val="0"/>
        <w:spacing w:line="440" w:lineRule="exact"/>
        <w:jc w:val="left"/>
        <w:rPr>
          <w:sz w:val="24"/>
        </w:rPr>
      </w:pPr>
      <w:r>
        <w:rPr>
          <w:rFonts w:hint="eastAsia"/>
          <w:sz w:val="24"/>
        </w:rPr>
        <w:t>六、一般公共预算财政拨款支出决算表</w:t>
      </w:r>
    </w:p>
    <w:p w:rsidR="009679CE" w:rsidRDefault="00857F15">
      <w:pPr>
        <w:pStyle w:val="20"/>
        <w:adjustRightInd w:val="0"/>
        <w:snapToGrid w:val="0"/>
        <w:spacing w:line="440" w:lineRule="exact"/>
        <w:jc w:val="left"/>
        <w:rPr>
          <w:sz w:val="24"/>
        </w:rPr>
      </w:pPr>
      <w:r>
        <w:rPr>
          <w:rFonts w:hint="eastAsia"/>
          <w:sz w:val="24"/>
        </w:rPr>
        <w:t>七、一般公共预算财政拨款支出决算明细表</w:t>
      </w:r>
    </w:p>
    <w:p w:rsidR="009679CE" w:rsidRDefault="00857F15">
      <w:pPr>
        <w:pStyle w:val="20"/>
        <w:adjustRightInd w:val="0"/>
        <w:snapToGrid w:val="0"/>
        <w:spacing w:line="440" w:lineRule="exact"/>
        <w:jc w:val="left"/>
        <w:rPr>
          <w:sz w:val="24"/>
        </w:rPr>
      </w:pPr>
      <w:r>
        <w:rPr>
          <w:rFonts w:hint="eastAsia"/>
          <w:sz w:val="24"/>
        </w:rPr>
        <w:t>八、一般公共预算财政拨款基本支出决算表</w:t>
      </w:r>
    </w:p>
    <w:p w:rsidR="009679CE" w:rsidRDefault="00857F15">
      <w:pPr>
        <w:pStyle w:val="20"/>
        <w:adjustRightInd w:val="0"/>
        <w:snapToGrid w:val="0"/>
        <w:spacing w:line="440" w:lineRule="exact"/>
        <w:jc w:val="left"/>
        <w:rPr>
          <w:sz w:val="24"/>
        </w:rPr>
      </w:pPr>
      <w:r>
        <w:rPr>
          <w:rFonts w:hint="eastAsia"/>
          <w:sz w:val="24"/>
        </w:rPr>
        <w:t>九、一般公共预算财政拨款项目支出决算表</w:t>
      </w:r>
    </w:p>
    <w:p w:rsidR="009679CE" w:rsidRDefault="00857F15">
      <w:pPr>
        <w:pStyle w:val="20"/>
        <w:adjustRightInd w:val="0"/>
        <w:snapToGrid w:val="0"/>
        <w:spacing w:line="440" w:lineRule="exact"/>
        <w:jc w:val="left"/>
        <w:rPr>
          <w:sz w:val="24"/>
        </w:rPr>
      </w:pPr>
      <w:r>
        <w:rPr>
          <w:rFonts w:hint="eastAsia"/>
          <w:sz w:val="24"/>
        </w:rPr>
        <w:t>十、一般公共预算财政拨款“三公”经费支出决算表</w:t>
      </w:r>
    </w:p>
    <w:p w:rsidR="009679CE" w:rsidRDefault="00857F15">
      <w:pPr>
        <w:pStyle w:val="20"/>
        <w:adjustRightInd w:val="0"/>
        <w:snapToGrid w:val="0"/>
        <w:spacing w:line="440" w:lineRule="exact"/>
        <w:jc w:val="left"/>
        <w:rPr>
          <w:sz w:val="24"/>
        </w:rPr>
      </w:pPr>
      <w:r>
        <w:rPr>
          <w:rFonts w:hint="eastAsia"/>
          <w:sz w:val="24"/>
        </w:rPr>
        <w:lastRenderedPageBreak/>
        <w:t>十一、政府性基金预算财政拨款收入支出决算表</w:t>
      </w:r>
    </w:p>
    <w:p w:rsidR="009679CE" w:rsidRDefault="00857F15">
      <w:pPr>
        <w:pStyle w:val="20"/>
        <w:adjustRightInd w:val="0"/>
        <w:snapToGrid w:val="0"/>
        <w:spacing w:line="440" w:lineRule="exact"/>
        <w:jc w:val="left"/>
        <w:rPr>
          <w:sz w:val="24"/>
        </w:rPr>
      </w:pPr>
      <w:r>
        <w:rPr>
          <w:rFonts w:hint="eastAsia"/>
          <w:sz w:val="24"/>
        </w:rPr>
        <w:t>十二、政府性基金预算财政拨款“三公”经费支出决算表</w:t>
      </w:r>
    </w:p>
    <w:p w:rsidR="009679CE" w:rsidRDefault="00857F15">
      <w:pPr>
        <w:pStyle w:val="20"/>
        <w:adjustRightInd w:val="0"/>
        <w:snapToGrid w:val="0"/>
        <w:spacing w:line="440" w:lineRule="exact"/>
        <w:jc w:val="left"/>
        <w:rPr>
          <w:sz w:val="24"/>
        </w:rPr>
      </w:pPr>
      <w:r>
        <w:rPr>
          <w:rFonts w:hint="eastAsia"/>
          <w:sz w:val="24"/>
        </w:rPr>
        <w:t>十三、国有资本经营预算财政拨款收入支出决算表</w:t>
      </w:r>
    </w:p>
    <w:p w:rsidR="009679CE" w:rsidRDefault="00857F15">
      <w:pPr>
        <w:pStyle w:val="20"/>
        <w:adjustRightInd w:val="0"/>
        <w:snapToGrid w:val="0"/>
        <w:spacing w:line="440" w:lineRule="exact"/>
        <w:jc w:val="left"/>
        <w:rPr>
          <w:sz w:val="24"/>
        </w:rPr>
      </w:pPr>
      <w:r>
        <w:rPr>
          <w:rFonts w:hint="eastAsia"/>
          <w:sz w:val="24"/>
        </w:rPr>
        <w:t>十四、国有资本经营预算财政拨款支出决算表</w:t>
      </w:r>
    </w:p>
    <w:p w:rsidR="009679CE" w:rsidRDefault="00857F15">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r>
        <w:rPr>
          <w:rFonts w:ascii="仿宋" w:eastAsia="仿宋" w:hAnsi="仿宋" w:hint="eastAsia"/>
          <w:sz w:val="24"/>
        </w:rPr>
        <w:t>请单位根据实际注明页码</w:t>
      </w:r>
      <w:r>
        <w:rPr>
          <w:rFonts w:ascii="仿宋" w:eastAsia="仿宋" w:hAnsi="仿宋"/>
          <w:sz w:val="24"/>
        </w:rPr>
        <w:t>)</w:t>
      </w:r>
    </w:p>
    <w:p w:rsidR="009679CE" w:rsidRDefault="00857F15">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9679CE" w:rsidRDefault="00857F15">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9679CE" w:rsidRDefault="009679CE">
      <w:pPr>
        <w:widowControl/>
        <w:jc w:val="left"/>
        <w:rPr>
          <w:rFonts w:ascii="黑体" w:eastAsia="黑体"/>
          <w:sz w:val="32"/>
          <w:szCs w:val="32"/>
        </w:rPr>
      </w:pPr>
    </w:p>
    <w:p w:rsidR="009679CE" w:rsidRDefault="00857F15">
      <w:pPr>
        <w:pStyle w:val="2"/>
        <w:rPr>
          <w:rStyle w:val="2Char"/>
          <w:rFonts w:ascii="黑体" w:eastAsia="黑体" w:hAnsi="黑体"/>
        </w:rPr>
      </w:pPr>
      <w:bookmarkStart w:id="14" w:name="_Toc15396600"/>
      <w:bookmarkStart w:id="15" w:name="_Toc15377197"/>
      <w:r>
        <w:rPr>
          <w:rStyle w:val="2Char"/>
          <w:rFonts w:ascii="黑体" w:eastAsia="黑体" w:hAnsi="黑体" w:hint="eastAsia"/>
        </w:rPr>
        <w:t>一、职能简介</w:t>
      </w:r>
    </w:p>
    <w:p w:rsidR="00B06EE4" w:rsidRPr="00B06EE4" w:rsidRDefault="00B06EE4" w:rsidP="00B06EE4">
      <w:pPr>
        <w:ind w:firstLineChars="200" w:firstLine="640"/>
        <w:rPr>
          <w:rFonts w:ascii="仿宋" w:eastAsia="仿宋" w:hAnsi="仿宋"/>
          <w:sz w:val="32"/>
          <w:szCs w:val="32"/>
        </w:rPr>
      </w:pPr>
      <w:r w:rsidRPr="00B06EE4">
        <w:rPr>
          <w:rFonts w:ascii="仿宋" w:eastAsia="仿宋" w:hAnsi="仿宋" w:hint="eastAsia"/>
          <w:sz w:val="32"/>
          <w:szCs w:val="32"/>
        </w:rPr>
        <w:t>四川省地质矿产勘查开发局成都修配厂位于成都市金牛区兴川路369号，独立编制机构数1个，独立核算机构数1个。为四川地勘单位从事地质工作提供支持和保障，主要从事广泛用于地质勘查，地灾治理，矿山开拓等地质专用机械产品的研发、生产、制造、试验，及为四川省地矿局各地质队进行地质勘查，找矿所需地质机械、仪器、凿岩机械设备等进行维修、维护、保养及配件加工等公益服务。</w:t>
      </w:r>
    </w:p>
    <w:p w:rsidR="009679CE" w:rsidRDefault="00857F15">
      <w:pPr>
        <w:pStyle w:val="2"/>
        <w:rPr>
          <w:rFonts w:ascii="黑体" w:eastAsia="黑体" w:hAnsi="黑体"/>
          <w:b w:val="0"/>
        </w:rPr>
      </w:pPr>
      <w:r>
        <w:rPr>
          <w:rFonts w:ascii="黑体" w:eastAsia="黑体" w:hAnsi="黑体" w:hint="eastAsia"/>
          <w:b w:val="0"/>
        </w:rPr>
        <w:t>二、2021年重点工作</w:t>
      </w:r>
      <w:bookmarkEnd w:id="14"/>
      <w:bookmarkEnd w:id="15"/>
      <w:r>
        <w:rPr>
          <w:rFonts w:ascii="黑体" w:eastAsia="黑体" w:hAnsi="黑体" w:hint="eastAsia"/>
          <w:b w:val="0"/>
        </w:rPr>
        <w:t>完成情况</w:t>
      </w:r>
    </w:p>
    <w:p w:rsidR="00B06EE4" w:rsidRDefault="00B06EE4" w:rsidP="00B06EE4">
      <w:pPr>
        <w:ind w:firstLineChars="200" w:firstLine="640"/>
        <w:rPr>
          <w:rFonts w:ascii="仿宋" w:eastAsia="仿宋" w:hAnsi="仿宋"/>
          <w:sz w:val="32"/>
          <w:szCs w:val="32"/>
        </w:rPr>
      </w:pPr>
      <w:r w:rsidRPr="00B06EE4">
        <w:rPr>
          <w:rFonts w:ascii="仿宋" w:eastAsia="仿宋" w:hAnsi="仿宋" w:hint="eastAsia"/>
          <w:sz w:val="32"/>
          <w:szCs w:val="32"/>
        </w:rPr>
        <w:t>202</w:t>
      </w:r>
      <w:r>
        <w:rPr>
          <w:rFonts w:ascii="仿宋" w:eastAsia="仿宋" w:hAnsi="仿宋" w:hint="eastAsia"/>
          <w:sz w:val="32"/>
          <w:szCs w:val="32"/>
        </w:rPr>
        <w:t>1</w:t>
      </w:r>
      <w:r w:rsidRPr="00B06EE4">
        <w:rPr>
          <w:rFonts w:ascii="仿宋" w:eastAsia="仿宋" w:hAnsi="仿宋" w:hint="eastAsia"/>
          <w:sz w:val="32"/>
          <w:szCs w:val="32"/>
        </w:rPr>
        <w:t>年我单位以发展经济为主，把增加职工收入，提高职工生活水平和生活质量为奋斗目标，在业务活动规定范围内认真开展工作。全年未涉及任何诉讼情况和社会投诉情况。 202</w:t>
      </w:r>
      <w:r>
        <w:rPr>
          <w:rFonts w:ascii="仿宋" w:eastAsia="仿宋" w:hAnsi="仿宋" w:hint="eastAsia"/>
          <w:sz w:val="32"/>
          <w:szCs w:val="32"/>
        </w:rPr>
        <w:t>1</w:t>
      </w:r>
      <w:r w:rsidRPr="00B06EE4">
        <w:rPr>
          <w:rFonts w:ascii="仿宋" w:eastAsia="仿宋" w:hAnsi="仿宋" w:hint="eastAsia"/>
          <w:sz w:val="32"/>
          <w:szCs w:val="32"/>
        </w:rPr>
        <w:t>年度在</w:t>
      </w:r>
      <w:r>
        <w:rPr>
          <w:rFonts w:ascii="仿宋" w:eastAsia="仿宋" w:hAnsi="仿宋" w:hint="eastAsia"/>
          <w:sz w:val="32"/>
          <w:szCs w:val="32"/>
        </w:rPr>
        <w:t>上级主管部门</w:t>
      </w:r>
      <w:r w:rsidRPr="00B06EE4">
        <w:rPr>
          <w:rFonts w:ascii="仿宋" w:eastAsia="仿宋" w:hAnsi="仿宋" w:hint="eastAsia"/>
          <w:sz w:val="32"/>
          <w:szCs w:val="32"/>
        </w:rPr>
        <w:t>关心和领导下，我们积极应对疫情带来的经济下滑、资金紧张、市场竞争激烈等不利因素，各项工作基本得到了有力的推动。202</w:t>
      </w:r>
      <w:r>
        <w:rPr>
          <w:rFonts w:ascii="仿宋" w:eastAsia="仿宋" w:hAnsi="仿宋" w:hint="eastAsia"/>
          <w:sz w:val="32"/>
          <w:szCs w:val="32"/>
        </w:rPr>
        <w:t>1</w:t>
      </w:r>
      <w:r w:rsidRPr="00B06EE4">
        <w:rPr>
          <w:rFonts w:ascii="仿宋" w:eastAsia="仿宋" w:hAnsi="仿宋" w:hint="eastAsia"/>
          <w:sz w:val="32"/>
          <w:szCs w:val="32"/>
        </w:rPr>
        <w:t>年我们加强安全培训、强化安全意识、确保安全生产。各部门定期组织干部职工进行安全交流，安全培训学习干部职工受训率100%。通过各种形式的宣传教育、安全培训等措施，力求真正实现“管理无</w:t>
      </w:r>
      <w:r w:rsidRPr="00B06EE4">
        <w:rPr>
          <w:rFonts w:ascii="仿宋" w:eastAsia="仿宋" w:hAnsi="仿宋" w:hint="eastAsia"/>
          <w:sz w:val="32"/>
          <w:szCs w:val="32"/>
        </w:rPr>
        <w:lastRenderedPageBreak/>
        <w:t>漏洞、设备无故障、人员无违章”，把安全生产真正落到实处。</w:t>
      </w:r>
    </w:p>
    <w:p w:rsidR="00A96B21" w:rsidRDefault="00A96B21" w:rsidP="00A96B21">
      <w:pPr>
        <w:pStyle w:val="2"/>
        <w:rPr>
          <w:rFonts w:ascii="黑体" w:eastAsia="黑体" w:hAnsi="黑体"/>
          <w:b w:val="0"/>
        </w:rPr>
      </w:pPr>
      <w:r>
        <w:rPr>
          <w:rFonts w:ascii="黑体" w:eastAsia="黑体" w:hAnsi="黑体" w:hint="eastAsia"/>
          <w:b w:val="0"/>
        </w:rPr>
        <w:t>三、机构设置情况</w:t>
      </w:r>
    </w:p>
    <w:p w:rsidR="00A96B21" w:rsidRDefault="00710E12" w:rsidP="00F96CD7">
      <w:pPr>
        <w:pStyle w:val="a0"/>
        <w:spacing w:before="93"/>
        <w:ind w:firstLineChars="200" w:firstLine="600"/>
      </w:pPr>
      <w:r>
        <w:rPr>
          <w:rFonts w:hint="eastAsia"/>
        </w:rPr>
        <w:t>厂部</w:t>
      </w:r>
      <w:r w:rsidR="00E84DAD" w:rsidRPr="00E84DAD">
        <w:rPr>
          <w:rFonts w:hint="eastAsia"/>
        </w:rPr>
        <w:t>下设</w:t>
      </w:r>
      <w:r>
        <w:rPr>
          <w:rFonts w:hint="eastAsia"/>
        </w:rPr>
        <w:t>十六个部门，分别为行政办公室、劳动人事科、财</w:t>
      </w:r>
      <w:bookmarkStart w:id="16" w:name="_GoBack"/>
      <w:bookmarkEnd w:id="16"/>
      <w:r>
        <w:rPr>
          <w:rFonts w:hint="eastAsia"/>
        </w:rPr>
        <w:t>务科、审计科、党群办公室、质管科、后勤离退休科、安全保卫科、技术科、理化科、生产科、销售科。</w:t>
      </w:r>
    </w:p>
    <w:p w:rsidR="00E84DAD" w:rsidRPr="00A96B21" w:rsidRDefault="00E84DAD" w:rsidP="00F96CD7">
      <w:pPr>
        <w:pStyle w:val="a0"/>
        <w:spacing w:before="93"/>
        <w:ind w:firstLineChars="200" w:firstLine="600"/>
      </w:pPr>
    </w:p>
    <w:p w:rsidR="009679CE" w:rsidRDefault="00857F15">
      <w:pPr>
        <w:widowControl/>
        <w:jc w:val="left"/>
        <w:rPr>
          <w:rFonts w:ascii="仿宋" w:eastAsia="仿宋" w:hAnsi="仿宋"/>
          <w:kern w:val="0"/>
          <w:sz w:val="32"/>
          <w:szCs w:val="32"/>
        </w:rPr>
      </w:pPr>
      <w:r>
        <w:rPr>
          <w:rFonts w:ascii="仿宋" w:eastAsia="仿宋" w:hAnsi="仿宋"/>
          <w:sz w:val="32"/>
          <w:szCs w:val="32"/>
        </w:rPr>
        <w:br w:type="page"/>
      </w:r>
    </w:p>
    <w:p w:rsidR="009679CE" w:rsidRDefault="00857F15">
      <w:pPr>
        <w:pStyle w:val="1"/>
        <w:ind w:right="440"/>
        <w:jc w:val="center"/>
        <w:rPr>
          <w:rStyle w:val="1Char"/>
          <w:rFonts w:ascii="黑体" w:eastAsia="黑体" w:hAnsi="黑体"/>
          <w:bCs/>
        </w:rPr>
      </w:pPr>
      <w:bookmarkStart w:id="17" w:name="_Toc15396602"/>
      <w:bookmarkStart w:id="18" w:name="_Toc15377204"/>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7"/>
      <w:bookmarkEnd w:id="18"/>
    </w:p>
    <w:p w:rsidR="009679CE" w:rsidRDefault="009679CE"/>
    <w:p w:rsidR="009679CE" w:rsidRDefault="00857F15">
      <w:pPr>
        <w:pStyle w:val="a9"/>
        <w:numPr>
          <w:ilvl w:val="0"/>
          <w:numId w:val="1"/>
        </w:numPr>
        <w:spacing w:line="600" w:lineRule="exact"/>
        <w:ind w:firstLineChars="0"/>
        <w:outlineLvl w:val="1"/>
        <w:rPr>
          <w:rStyle w:val="2Char"/>
          <w:rFonts w:ascii="黑体" w:eastAsia="黑体" w:hAnsi="黑体"/>
          <w:b w:val="0"/>
        </w:rPr>
      </w:pPr>
      <w:bookmarkStart w:id="19" w:name="_Toc15396603"/>
      <w:bookmarkStart w:id="20"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9679CE" w:rsidRDefault="00857F15">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w:t>
      </w:r>
      <w:r w:rsidR="00B06EE4">
        <w:rPr>
          <w:rFonts w:ascii="仿宋" w:eastAsia="仿宋" w:hAnsi="仿宋" w:hint="eastAsia"/>
          <w:sz w:val="32"/>
          <w:szCs w:val="32"/>
        </w:rPr>
        <w:t>1609.80</w:t>
      </w:r>
      <w:r>
        <w:rPr>
          <w:rFonts w:ascii="仿宋" w:eastAsia="仿宋" w:hAnsi="仿宋" w:hint="eastAsia"/>
          <w:sz w:val="32"/>
          <w:szCs w:val="32"/>
        </w:rPr>
        <w:t>万元。与2020年相比，收、支总计各增加</w:t>
      </w:r>
      <w:r w:rsidR="00B06EE4">
        <w:rPr>
          <w:rFonts w:ascii="仿宋" w:eastAsia="仿宋" w:hAnsi="仿宋" w:hint="eastAsia"/>
          <w:sz w:val="32"/>
          <w:szCs w:val="32"/>
        </w:rPr>
        <w:t>239.46</w:t>
      </w:r>
      <w:r>
        <w:rPr>
          <w:rFonts w:ascii="仿宋" w:eastAsia="仿宋" w:hAnsi="仿宋" w:hint="eastAsia"/>
          <w:sz w:val="32"/>
          <w:szCs w:val="32"/>
        </w:rPr>
        <w:t>万元，增长</w:t>
      </w:r>
      <w:r w:rsidR="00B06EE4">
        <w:rPr>
          <w:rFonts w:ascii="仿宋" w:eastAsia="仿宋" w:hAnsi="仿宋" w:hint="eastAsia"/>
          <w:sz w:val="32"/>
          <w:szCs w:val="32"/>
        </w:rPr>
        <w:t>17.47</w:t>
      </w:r>
      <w:r>
        <w:rPr>
          <w:rFonts w:ascii="仿宋" w:eastAsia="仿宋" w:hAnsi="仿宋"/>
          <w:sz w:val="32"/>
          <w:szCs w:val="32"/>
        </w:rPr>
        <w:t>%</w:t>
      </w:r>
      <w:r>
        <w:rPr>
          <w:rFonts w:ascii="仿宋" w:eastAsia="仿宋" w:hAnsi="仿宋" w:hint="eastAsia"/>
          <w:sz w:val="32"/>
          <w:szCs w:val="32"/>
        </w:rPr>
        <w:t>。主要变动原因是</w:t>
      </w:r>
      <w:r w:rsidR="00B06EE4">
        <w:rPr>
          <w:rFonts w:ascii="仿宋" w:eastAsia="仿宋" w:hAnsi="仿宋" w:hint="eastAsia"/>
          <w:sz w:val="32"/>
          <w:szCs w:val="32"/>
        </w:rPr>
        <w:t>增加了退休人员经费。</w:t>
      </w:r>
    </w:p>
    <w:p w:rsidR="009679CE" w:rsidRDefault="00857F15">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9679CE" w:rsidRDefault="00B06EE4" w:rsidP="00B06EE4">
      <w:pPr>
        <w:spacing w:line="600" w:lineRule="exact"/>
        <w:ind w:firstLineChars="200" w:firstLine="420"/>
        <w:jc w:val="left"/>
        <w:rPr>
          <w:rFonts w:ascii="仿宋_GB2312" w:eastAsia="仿宋_GB2312"/>
          <w:sz w:val="32"/>
          <w:szCs w:val="32"/>
        </w:rPr>
      </w:pPr>
      <w:r>
        <w:rPr>
          <w:noProof/>
        </w:rPr>
        <w:drawing>
          <wp:anchor distT="0" distB="0" distL="114300" distR="114300" simplePos="0" relativeHeight="251658240" behindDoc="0" locked="0" layoutInCell="1" allowOverlap="1" wp14:anchorId="5BDAE3EA" wp14:editId="77665F85">
            <wp:simplePos x="0" y="0"/>
            <wp:positionH relativeFrom="column">
              <wp:posOffset>83820</wp:posOffset>
            </wp:positionH>
            <wp:positionV relativeFrom="paragraph">
              <wp:posOffset>192405</wp:posOffset>
            </wp:positionV>
            <wp:extent cx="4999990" cy="2743200"/>
            <wp:effectExtent l="0" t="0" r="10160" b="1905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9679CE" w:rsidRDefault="00857F15">
      <w:pPr>
        <w:pStyle w:val="a9"/>
        <w:numPr>
          <w:ilvl w:val="0"/>
          <w:numId w:val="1"/>
        </w:numPr>
        <w:spacing w:line="600" w:lineRule="exact"/>
        <w:ind w:firstLineChars="0"/>
        <w:outlineLvl w:val="1"/>
        <w:rPr>
          <w:rStyle w:val="2Char"/>
          <w:rFonts w:ascii="黑体" w:eastAsia="黑体" w:hAnsi="黑体"/>
          <w:b w:val="0"/>
        </w:rPr>
      </w:pPr>
      <w:bookmarkStart w:id="21" w:name="_Toc15396604"/>
      <w:bookmarkStart w:id="22"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9679CE" w:rsidRDefault="00857F15">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sidR="003355F4" w:rsidRPr="003355F4">
        <w:rPr>
          <w:rFonts w:ascii="仿宋" w:eastAsia="仿宋" w:hAnsi="仿宋"/>
          <w:sz w:val="32"/>
          <w:szCs w:val="32"/>
        </w:rPr>
        <w:t>1609.80</w:t>
      </w:r>
      <w:r>
        <w:rPr>
          <w:rFonts w:ascii="仿宋" w:eastAsia="仿宋" w:hAnsi="仿宋" w:hint="eastAsia"/>
          <w:sz w:val="32"/>
          <w:szCs w:val="32"/>
        </w:rPr>
        <w:t>万元，其中：一般公共预算财政拨款收入</w:t>
      </w:r>
      <w:r w:rsidR="003355F4">
        <w:rPr>
          <w:rFonts w:ascii="仿宋" w:eastAsia="仿宋" w:hAnsi="仿宋" w:hint="eastAsia"/>
          <w:sz w:val="32"/>
          <w:szCs w:val="32"/>
        </w:rPr>
        <w:t>1609.8</w:t>
      </w:r>
      <w:r>
        <w:rPr>
          <w:rFonts w:ascii="仿宋" w:eastAsia="仿宋" w:hAnsi="仿宋" w:hint="eastAsia"/>
          <w:sz w:val="32"/>
          <w:szCs w:val="32"/>
        </w:rPr>
        <w:t>万元，占</w:t>
      </w:r>
      <w:r w:rsidR="003355F4">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9679CE" w:rsidRDefault="00857F15">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9679CE" w:rsidRPr="003355F4" w:rsidRDefault="009679CE" w:rsidP="003355F4">
      <w:pPr>
        <w:spacing w:line="600" w:lineRule="exact"/>
        <w:ind w:firstLineChars="200" w:firstLine="640"/>
        <w:rPr>
          <w:rFonts w:ascii="仿宋_GB2312" w:eastAsia="仿宋_GB2312"/>
          <w:sz w:val="32"/>
          <w:szCs w:val="32"/>
        </w:rPr>
      </w:pPr>
    </w:p>
    <w:p w:rsidR="009679CE" w:rsidRDefault="003355F4">
      <w:pPr>
        <w:pStyle w:val="a9"/>
        <w:numPr>
          <w:ilvl w:val="0"/>
          <w:numId w:val="1"/>
        </w:numPr>
        <w:spacing w:line="600" w:lineRule="exact"/>
        <w:ind w:firstLineChars="0"/>
        <w:outlineLvl w:val="1"/>
        <w:rPr>
          <w:rStyle w:val="2Char"/>
          <w:rFonts w:ascii="黑体" w:eastAsia="黑体" w:hAnsi="黑体"/>
          <w:b w:val="0"/>
        </w:rPr>
      </w:pPr>
      <w:bookmarkStart w:id="23" w:name="_Toc15396605"/>
      <w:bookmarkStart w:id="24" w:name="_Toc15377207"/>
      <w:r>
        <w:rPr>
          <w:noProof/>
        </w:rPr>
        <w:lastRenderedPageBreak/>
        <w:drawing>
          <wp:anchor distT="0" distB="0" distL="114300" distR="114300" simplePos="0" relativeHeight="251659264" behindDoc="0" locked="0" layoutInCell="1" allowOverlap="1" wp14:anchorId="0FFE3E66" wp14:editId="27AC841B">
            <wp:simplePos x="0" y="0"/>
            <wp:positionH relativeFrom="column">
              <wp:posOffset>411480</wp:posOffset>
            </wp:positionH>
            <wp:positionV relativeFrom="paragraph">
              <wp:posOffset>80645</wp:posOffset>
            </wp:positionV>
            <wp:extent cx="4572000" cy="2743200"/>
            <wp:effectExtent l="0" t="0" r="19050" b="1905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857F15">
        <w:rPr>
          <w:rFonts w:ascii="黑体" w:eastAsia="黑体" w:hAnsi="黑体" w:hint="eastAsia"/>
          <w:sz w:val="32"/>
          <w:szCs w:val="32"/>
        </w:rPr>
        <w:t>支</w:t>
      </w:r>
      <w:r w:rsidR="00857F15">
        <w:rPr>
          <w:rStyle w:val="2Char"/>
          <w:rFonts w:ascii="黑体" w:eastAsia="黑体" w:hAnsi="黑体" w:hint="eastAsia"/>
          <w:b w:val="0"/>
        </w:rPr>
        <w:t>出决算情况说明</w:t>
      </w:r>
      <w:bookmarkEnd w:id="23"/>
      <w:bookmarkEnd w:id="24"/>
    </w:p>
    <w:p w:rsidR="009679CE" w:rsidRDefault="00857F15" w:rsidP="003355F4">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w:t>
      </w:r>
      <w:r w:rsidR="003355F4">
        <w:rPr>
          <w:rFonts w:ascii="仿宋" w:eastAsia="仿宋" w:hAnsi="仿宋" w:hint="eastAsia"/>
          <w:sz w:val="32"/>
          <w:szCs w:val="32"/>
        </w:rPr>
        <w:t>1609.8</w:t>
      </w:r>
      <w:r>
        <w:rPr>
          <w:rFonts w:ascii="仿宋" w:eastAsia="仿宋" w:hAnsi="仿宋" w:hint="eastAsia"/>
          <w:sz w:val="32"/>
          <w:szCs w:val="32"/>
        </w:rPr>
        <w:t>万元，其中：基本支出</w:t>
      </w:r>
      <w:r w:rsidR="003355F4">
        <w:rPr>
          <w:rFonts w:ascii="仿宋" w:eastAsia="仿宋" w:hAnsi="仿宋" w:hint="eastAsia"/>
          <w:sz w:val="32"/>
          <w:szCs w:val="32"/>
        </w:rPr>
        <w:t>1609.8</w:t>
      </w:r>
      <w:r>
        <w:rPr>
          <w:rFonts w:ascii="仿宋" w:eastAsia="仿宋" w:hAnsi="仿宋" w:hint="eastAsia"/>
          <w:sz w:val="32"/>
          <w:szCs w:val="32"/>
        </w:rPr>
        <w:t>万元，占</w:t>
      </w:r>
      <w:r w:rsidR="003355F4">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9679CE" w:rsidRDefault="00857F15" w:rsidP="003355F4">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9679CE" w:rsidRDefault="003355F4" w:rsidP="003355F4">
      <w:pPr>
        <w:spacing w:line="600" w:lineRule="exact"/>
        <w:ind w:firstLineChars="200" w:firstLine="420"/>
        <w:rPr>
          <w:rFonts w:ascii="仿宋_GB2312" w:eastAsia="仿宋_GB2312"/>
          <w:sz w:val="32"/>
          <w:szCs w:val="32"/>
        </w:rPr>
      </w:pPr>
      <w:r>
        <w:rPr>
          <w:noProof/>
        </w:rPr>
        <w:drawing>
          <wp:anchor distT="0" distB="0" distL="114300" distR="114300" simplePos="0" relativeHeight="251660288" behindDoc="0" locked="0" layoutInCell="1" allowOverlap="1" wp14:anchorId="0D7788A6" wp14:editId="3DC20AD7">
            <wp:simplePos x="0" y="0"/>
            <wp:positionH relativeFrom="column">
              <wp:posOffset>174625</wp:posOffset>
            </wp:positionH>
            <wp:positionV relativeFrom="paragraph">
              <wp:posOffset>104775</wp:posOffset>
            </wp:positionV>
            <wp:extent cx="5132070" cy="2668905"/>
            <wp:effectExtent l="0" t="0" r="11430" b="1714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9679CE" w:rsidRDefault="00857F15">
      <w:pPr>
        <w:spacing w:line="600" w:lineRule="exact"/>
        <w:ind w:firstLineChars="200" w:firstLine="640"/>
        <w:outlineLvl w:val="1"/>
        <w:rPr>
          <w:rStyle w:val="2Char"/>
          <w:rFonts w:ascii="黑体" w:eastAsia="黑体" w:hAnsi="黑体"/>
          <w:b w:val="0"/>
        </w:rPr>
      </w:pPr>
      <w:bookmarkStart w:id="25" w:name="_Toc15377208"/>
      <w:bookmarkStart w:id="26"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9679CE" w:rsidRDefault="00857F1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w:t>
      </w:r>
      <w:r w:rsidR="007D5F00">
        <w:rPr>
          <w:rFonts w:ascii="仿宋" w:eastAsia="仿宋" w:hAnsi="仿宋" w:hint="eastAsia"/>
          <w:sz w:val="32"/>
          <w:szCs w:val="32"/>
        </w:rPr>
        <w:t>1609.8</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w:t>
      </w:r>
      <w:r w:rsidR="007D5F00">
        <w:rPr>
          <w:rFonts w:ascii="仿宋" w:eastAsia="仿宋" w:hAnsi="仿宋" w:hint="eastAsia"/>
          <w:sz w:val="32"/>
          <w:szCs w:val="32"/>
        </w:rPr>
        <w:t>增加239.46万元，增长17.47</w:t>
      </w:r>
      <w:r w:rsidR="007D5F00">
        <w:rPr>
          <w:rFonts w:ascii="仿宋" w:eastAsia="仿宋" w:hAnsi="仿宋"/>
          <w:sz w:val="32"/>
          <w:szCs w:val="32"/>
        </w:rPr>
        <w:t>%</w:t>
      </w:r>
      <w:r w:rsidR="007D5F00">
        <w:rPr>
          <w:rFonts w:ascii="仿宋" w:eastAsia="仿宋" w:hAnsi="仿宋" w:hint="eastAsia"/>
          <w:sz w:val="32"/>
          <w:szCs w:val="32"/>
        </w:rPr>
        <w:t>。</w:t>
      </w:r>
      <w:r w:rsidR="007D5F00">
        <w:rPr>
          <w:rFonts w:ascii="仿宋" w:eastAsia="仿宋" w:hAnsi="仿宋" w:hint="eastAsia"/>
          <w:sz w:val="32"/>
          <w:szCs w:val="32"/>
        </w:rPr>
        <w:lastRenderedPageBreak/>
        <w:t>主要变动原因是增加了退休人员经费。</w:t>
      </w:r>
    </w:p>
    <w:p w:rsidR="009679CE" w:rsidRDefault="007D5F00" w:rsidP="007D5F00">
      <w:pPr>
        <w:spacing w:line="600" w:lineRule="exact"/>
        <w:ind w:firstLineChars="200" w:firstLine="420"/>
        <w:rPr>
          <w:rFonts w:ascii="仿宋" w:eastAsia="仿宋" w:hAnsi="仿宋"/>
          <w:sz w:val="32"/>
          <w:szCs w:val="32"/>
        </w:rPr>
      </w:pPr>
      <w:r>
        <w:rPr>
          <w:noProof/>
        </w:rPr>
        <w:drawing>
          <wp:anchor distT="0" distB="0" distL="114300" distR="114300" simplePos="0" relativeHeight="251661312" behindDoc="0" locked="0" layoutInCell="1" allowOverlap="1" wp14:anchorId="4F19EC15" wp14:editId="3082C6DC">
            <wp:simplePos x="0" y="0"/>
            <wp:positionH relativeFrom="column">
              <wp:posOffset>273050</wp:posOffset>
            </wp:positionH>
            <wp:positionV relativeFrom="paragraph">
              <wp:posOffset>518795</wp:posOffset>
            </wp:positionV>
            <wp:extent cx="5148580" cy="2454275"/>
            <wp:effectExtent l="0" t="0" r="13970" b="222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857F15">
        <w:rPr>
          <w:rFonts w:ascii="仿宋" w:eastAsia="仿宋" w:hAnsi="仿宋" w:hint="eastAsia"/>
          <w:sz w:val="32"/>
          <w:szCs w:val="32"/>
        </w:rPr>
        <w:t>（图4：财政拨款收、支决算总计变动情况）（柱状图）</w:t>
      </w:r>
    </w:p>
    <w:p w:rsidR="009679CE" w:rsidRPr="007D5F00" w:rsidRDefault="009679CE">
      <w:pPr>
        <w:spacing w:line="600" w:lineRule="exact"/>
        <w:ind w:firstLine="640"/>
        <w:rPr>
          <w:rFonts w:ascii="仿宋" w:eastAsia="仿宋" w:hAnsi="仿宋"/>
          <w:b/>
          <w:sz w:val="32"/>
          <w:szCs w:val="32"/>
        </w:rPr>
      </w:pPr>
    </w:p>
    <w:p w:rsidR="009679CE" w:rsidRDefault="00857F15" w:rsidP="007D5F00">
      <w:pPr>
        <w:spacing w:line="600" w:lineRule="exact"/>
        <w:ind w:firstLineChars="200" w:firstLine="640"/>
        <w:outlineLvl w:val="1"/>
        <w:rPr>
          <w:rStyle w:val="2Char"/>
          <w:rFonts w:ascii="黑体" w:eastAsia="黑体" w:hAnsi="黑体"/>
          <w:b w:val="0"/>
        </w:rPr>
      </w:pPr>
      <w:bookmarkStart w:id="27" w:name="_Toc15396607"/>
      <w:bookmarkStart w:id="28"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9679CE" w:rsidRDefault="00857F15" w:rsidP="003355F4">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9679CE" w:rsidRDefault="00857F15">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7D5F00">
        <w:rPr>
          <w:rFonts w:ascii="仿宋" w:eastAsia="仿宋" w:hAnsi="仿宋" w:hint="eastAsia"/>
          <w:sz w:val="32"/>
          <w:szCs w:val="32"/>
        </w:rPr>
        <w:t>1609.8</w:t>
      </w:r>
      <w:r>
        <w:rPr>
          <w:rFonts w:ascii="仿宋" w:eastAsia="仿宋" w:hAnsi="仿宋" w:hint="eastAsia"/>
          <w:sz w:val="32"/>
          <w:szCs w:val="32"/>
        </w:rPr>
        <w:t>万元，占本年支出合计的</w:t>
      </w:r>
      <w:r w:rsidR="007D5F00">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w:t>
      </w:r>
      <w:r w:rsidR="00B947E0" w:rsidRPr="00B947E0">
        <w:rPr>
          <w:rFonts w:ascii="仿宋" w:eastAsia="仿宋" w:hAnsi="仿宋" w:hint="eastAsia"/>
          <w:sz w:val="32"/>
          <w:szCs w:val="32"/>
        </w:rPr>
        <w:t>增加239.46万元，增长17.47%。主要变动原因是增加了退休人员经费。</w:t>
      </w:r>
    </w:p>
    <w:p w:rsidR="009679CE" w:rsidRDefault="009679CE">
      <w:pPr>
        <w:spacing w:line="600" w:lineRule="exact"/>
        <w:ind w:firstLineChars="200" w:firstLine="640"/>
        <w:rPr>
          <w:rFonts w:ascii="仿宋" w:eastAsia="仿宋" w:hAnsi="仿宋"/>
          <w:sz w:val="32"/>
          <w:szCs w:val="32"/>
        </w:rPr>
      </w:pPr>
    </w:p>
    <w:p w:rsidR="009679CE" w:rsidRDefault="00857F15">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9679CE" w:rsidRDefault="009679CE" w:rsidP="00B947E0">
      <w:pPr>
        <w:spacing w:line="600" w:lineRule="exact"/>
        <w:ind w:firstLineChars="200" w:firstLine="640"/>
        <w:rPr>
          <w:rFonts w:ascii="仿宋" w:eastAsia="仿宋" w:hAnsi="仿宋"/>
          <w:sz w:val="32"/>
          <w:szCs w:val="32"/>
        </w:rPr>
      </w:pPr>
    </w:p>
    <w:p w:rsidR="009679CE" w:rsidRDefault="00B947E0" w:rsidP="00B947E0">
      <w:pPr>
        <w:spacing w:line="600" w:lineRule="exact"/>
        <w:ind w:firstLineChars="200" w:firstLine="420"/>
        <w:outlineLvl w:val="2"/>
        <w:rPr>
          <w:rFonts w:ascii="仿宋" w:eastAsia="仿宋" w:hAnsi="仿宋"/>
          <w:b/>
          <w:sz w:val="32"/>
          <w:szCs w:val="32"/>
        </w:rPr>
      </w:pPr>
      <w:bookmarkStart w:id="30" w:name="_Toc15377211"/>
      <w:r>
        <w:rPr>
          <w:noProof/>
        </w:rPr>
        <w:lastRenderedPageBreak/>
        <w:drawing>
          <wp:anchor distT="0" distB="0" distL="114300" distR="114300" simplePos="0" relativeHeight="251662336" behindDoc="0" locked="0" layoutInCell="1" allowOverlap="1" wp14:anchorId="348867C5" wp14:editId="7001D1AC">
            <wp:simplePos x="0" y="0"/>
            <wp:positionH relativeFrom="column">
              <wp:posOffset>232410</wp:posOffset>
            </wp:positionH>
            <wp:positionV relativeFrom="paragraph">
              <wp:posOffset>123190</wp:posOffset>
            </wp:positionV>
            <wp:extent cx="4991735" cy="2256790"/>
            <wp:effectExtent l="0" t="0" r="18415" b="1016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857F15">
        <w:rPr>
          <w:rFonts w:ascii="仿宋" w:eastAsia="仿宋" w:hAnsi="仿宋" w:hint="eastAsia"/>
          <w:b/>
          <w:sz w:val="32"/>
          <w:szCs w:val="32"/>
        </w:rPr>
        <w:t>（二）一般公共预算财政拨款支出决算结构情况</w:t>
      </w:r>
      <w:bookmarkEnd w:id="30"/>
    </w:p>
    <w:p w:rsidR="009679CE" w:rsidRDefault="00857F15">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10353B">
        <w:rPr>
          <w:rFonts w:ascii="仿宋" w:eastAsia="仿宋" w:hAnsi="仿宋" w:hint="eastAsia"/>
          <w:sz w:val="32"/>
          <w:szCs w:val="32"/>
        </w:rPr>
        <w:t>1609.8</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0010353B">
        <w:rPr>
          <w:rFonts w:ascii="仿宋" w:eastAsia="仿宋" w:hAnsi="仿宋" w:hint="eastAsia"/>
          <w:sz w:val="32"/>
          <w:szCs w:val="32"/>
        </w:rPr>
        <w:t>579.26</w:t>
      </w:r>
      <w:r>
        <w:rPr>
          <w:rFonts w:ascii="仿宋" w:eastAsia="仿宋" w:hAnsi="仿宋" w:hint="eastAsia"/>
          <w:sz w:val="32"/>
          <w:szCs w:val="32"/>
        </w:rPr>
        <w:t>万元，占</w:t>
      </w:r>
      <w:r w:rsidR="0010353B">
        <w:rPr>
          <w:rFonts w:ascii="仿宋" w:eastAsia="仿宋" w:hAnsi="仿宋" w:hint="eastAsia"/>
          <w:sz w:val="32"/>
          <w:szCs w:val="32"/>
        </w:rPr>
        <w:t>35.98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10353B">
        <w:rPr>
          <w:rFonts w:ascii="仿宋" w:eastAsia="仿宋" w:hAnsi="仿宋" w:hint="eastAsia"/>
          <w:sz w:val="32"/>
          <w:szCs w:val="32"/>
        </w:rPr>
        <w:t>62.88</w:t>
      </w:r>
      <w:r>
        <w:rPr>
          <w:rFonts w:ascii="仿宋" w:eastAsia="仿宋" w:hAnsi="仿宋" w:hint="eastAsia"/>
          <w:sz w:val="32"/>
          <w:szCs w:val="32"/>
        </w:rPr>
        <w:t>万元，占</w:t>
      </w:r>
      <w:r w:rsidR="0010353B">
        <w:rPr>
          <w:rFonts w:ascii="仿宋" w:eastAsia="仿宋" w:hAnsi="仿宋" w:hint="eastAsia"/>
          <w:sz w:val="32"/>
          <w:szCs w:val="32"/>
        </w:rPr>
        <w:t>4.24</w:t>
      </w:r>
      <w:r>
        <w:rPr>
          <w:rFonts w:ascii="仿宋" w:eastAsia="仿宋" w:hAnsi="仿宋"/>
          <w:sz w:val="32"/>
          <w:szCs w:val="32"/>
        </w:rPr>
        <w:t>%</w:t>
      </w:r>
      <w:r>
        <w:rPr>
          <w:rFonts w:ascii="仿宋" w:eastAsia="仿宋" w:hAnsi="仿宋" w:hint="eastAsia"/>
          <w:sz w:val="32"/>
          <w:szCs w:val="32"/>
        </w:rPr>
        <w:t>；</w:t>
      </w:r>
      <w:r w:rsidR="0010353B">
        <w:rPr>
          <w:rFonts w:ascii="仿宋" w:eastAsia="仿宋" w:hAnsi="仿宋" w:hint="eastAsia"/>
          <w:sz w:val="32"/>
          <w:szCs w:val="32"/>
        </w:rPr>
        <w:t>资源勘探工业信息等支出806.67万元，占50.11%；</w:t>
      </w:r>
      <w:r>
        <w:rPr>
          <w:rFonts w:ascii="仿宋" w:eastAsia="仿宋" w:hAnsi="仿宋" w:hint="eastAsia"/>
          <w:sz w:val="32"/>
          <w:szCs w:val="32"/>
        </w:rPr>
        <w:t>住房保障支出</w:t>
      </w:r>
      <w:r w:rsidR="0010353B">
        <w:rPr>
          <w:rFonts w:ascii="仿宋" w:eastAsia="仿宋" w:hAnsi="仿宋" w:hint="eastAsia"/>
          <w:sz w:val="32"/>
          <w:szCs w:val="32"/>
        </w:rPr>
        <w:t>155.65</w:t>
      </w:r>
      <w:r>
        <w:rPr>
          <w:rFonts w:ascii="仿宋" w:eastAsia="仿宋" w:hAnsi="仿宋" w:hint="eastAsia"/>
          <w:sz w:val="32"/>
          <w:szCs w:val="32"/>
        </w:rPr>
        <w:t>万元，占</w:t>
      </w:r>
      <w:r w:rsidR="0010353B">
        <w:rPr>
          <w:rFonts w:ascii="仿宋" w:eastAsia="仿宋" w:hAnsi="仿宋" w:hint="eastAsia"/>
          <w:sz w:val="32"/>
          <w:szCs w:val="32"/>
        </w:rPr>
        <w:t>9.67</w:t>
      </w:r>
      <w:r>
        <w:rPr>
          <w:rFonts w:ascii="仿宋" w:eastAsia="仿宋" w:hAnsi="仿宋"/>
          <w:sz w:val="32"/>
          <w:szCs w:val="32"/>
        </w:rPr>
        <w:t>%</w:t>
      </w:r>
      <w:r>
        <w:rPr>
          <w:rFonts w:ascii="仿宋" w:eastAsia="仿宋" w:hAnsi="仿宋" w:hint="eastAsia"/>
          <w:sz w:val="32"/>
          <w:szCs w:val="32"/>
        </w:rPr>
        <w:t>。</w:t>
      </w:r>
    </w:p>
    <w:p w:rsidR="009679CE" w:rsidRDefault="00857F15">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9679CE" w:rsidRDefault="005A1D4E" w:rsidP="005A1D4E">
      <w:pPr>
        <w:spacing w:line="600" w:lineRule="exact"/>
        <w:ind w:firstLineChars="200" w:firstLine="420"/>
        <w:outlineLvl w:val="2"/>
        <w:rPr>
          <w:rFonts w:ascii="仿宋" w:eastAsia="仿宋" w:hAnsi="仿宋"/>
          <w:b/>
          <w:sz w:val="32"/>
          <w:szCs w:val="32"/>
        </w:rPr>
      </w:pPr>
      <w:bookmarkStart w:id="31" w:name="_Toc15377212"/>
      <w:r>
        <w:rPr>
          <w:noProof/>
        </w:rPr>
        <w:drawing>
          <wp:anchor distT="0" distB="0" distL="114300" distR="114300" simplePos="0" relativeHeight="251663360" behindDoc="0" locked="0" layoutInCell="1" allowOverlap="1" wp14:anchorId="385FB540" wp14:editId="4AB9316A">
            <wp:simplePos x="0" y="0"/>
            <wp:positionH relativeFrom="column">
              <wp:posOffset>231775</wp:posOffset>
            </wp:positionH>
            <wp:positionV relativeFrom="paragraph">
              <wp:posOffset>262890</wp:posOffset>
            </wp:positionV>
            <wp:extent cx="5222240" cy="2347595"/>
            <wp:effectExtent l="0" t="0" r="16510" b="1460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857F15">
        <w:rPr>
          <w:rFonts w:ascii="仿宋" w:eastAsia="仿宋" w:hAnsi="仿宋" w:hint="eastAsia"/>
          <w:b/>
          <w:sz w:val="32"/>
          <w:szCs w:val="32"/>
        </w:rPr>
        <w:t>（三）一般公共预算财政拨款支出决算具体情况</w:t>
      </w:r>
      <w:bookmarkEnd w:id="31"/>
    </w:p>
    <w:p w:rsidR="009679CE" w:rsidRDefault="00857F15" w:rsidP="0010353B">
      <w:pPr>
        <w:spacing w:line="600" w:lineRule="exact"/>
        <w:ind w:firstLineChars="200" w:firstLine="643"/>
        <w:outlineLvl w:val="2"/>
        <w:rPr>
          <w:rFonts w:ascii="仿宋" w:eastAsia="仿宋" w:hAnsi="仿宋"/>
          <w:sz w:val="32"/>
          <w:szCs w:val="32"/>
        </w:rPr>
      </w:pPr>
      <w:bookmarkStart w:id="32" w:name="_Toc15378460"/>
      <w:bookmarkStart w:id="33" w:name="_Toc15377213"/>
      <w:bookmarkStart w:id="34" w:name="_Toc15377444"/>
      <w:r>
        <w:rPr>
          <w:rFonts w:ascii="仿宋" w:eastAsia="仿宋" w:hAnsi="仿宋" w:hint="eastAsia"/>
          <w:b/>
          <w:sz w:val="32"/>
          <w:szCs w:val="32"/>
        </w:rPr>
        <w:t>2021年一般公共预算支出决算数为</w:t>
      </w:r>
      <w:r w:rsidR="005A1D4E">
        <w:rPr>
          <w:rFonts w:ascii="仿宋" w:eastAsia="仿宋" w:hAnsi="仿宋" w:hint="eastAsia"/>
          <w:sz w:val="32"/>
          <w:szCs w:val="32"/>
        </w:rPr>
        <w:t>1609.8万元</w:t>
      </w:r>
      <w:r>
        <w:rPr>
          <w:rFonts w:ascii="仿宋" w:eastAsia="仿宋" w:hAnsi="仿宋" w:hint="eastAsia"/>
          <w:sz w:val="32"/>
          <w:szCs w:val="32"/>
        </w:rPr>
        <w:t>，</w:t>
      </w:r>
      <w:r>
        <w:rPr>
          <w:rStyle w:val="a7"/>
          <w:rFonts w:ascii="仿宋" w:eastAsia="仿宋" w:hAnsi="仿宋" w:hint="eastAsia"/>
          <w:bCs/>
          <w:sz w:val="32"/>
          <w:szCs w:val="32"/>
        </w:rPr>
        <w:t>完成预算</w:t>
      </w:r>
      <w:r w:rsidR="005A1D4E">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2"/>
      <w:bookmarkEnd w:id="33"/>
      <w:bookmarkEnd w:id="34"/>
    </w:p>
    <w:p w:rsidR="005A1D4E" w:rsidRPr="005A1D4E" w:rsidRDefault="005A1D4E" w:rsidP="005A1D4E">
      <w:pPr>
        <w:spacing w:line="600" w:lineRule="exact"/>
        <w:ind w:firstLineChars="200" w:firstLine="643"/>
        <w:rPr>
          <w:rStyle w:val="a7"/>
          <w:rFonts w:ascii="仿宋" w:eastAsia="仿宋" w:hAnsi="仿宋"/>
          <w:bCs/>
          <w:sz w:val="32"/>
          <w:szCs w:val="32"/>
        </w:rPr>
      </w:pPr>
      <w:r w:rsidRPr="005A1D4E">
        <w:rPr>
          <w:rStyle w:val="a7"/>
          <w:rFonts w:ascii="仿宋" w:eastAsia="仿宋" w:hAnsi="仿宋" w:hint="eastAsia"/>
          <w:bCs/>
          <w:sz w:val="32"/>
          <w:szCs w:val="32"/>
        </w:rPr>
        <w:lastRenderedPageBreak/>
        <w:t xml:space="preserve">1.社会保障就业（类）行政事业单位养老（款）事业单位离退休（项）: </w:t>
      </w:r>
      <w:r w:rsidRPr="005A1D4E">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421.06</w:t>
      </w:r>
      <w:r w:rsidRPr="005A1D4E">
        <w:rPr>
          <w:rStyle w:val="a7"/>
          <w:rFonts w:ascii="仿宋" w:eastAsia="仿宋" w:hAnsi="仿宋" w:hint="eastAsia"/>
          <w:b w:val="0"/>
          <w:bCs/>
          <w:sz w:val="32"/>
          <w:szCs w:val="32"/>
        </w:rPr>
        <w:t>万元，完成预算100%。</w:t>
      </w:r>
    </w:p>
    <w:p w:rsidR="005A1D4E" w:rsidRPr="005A1D4E" w:rsidRDefault="005A1D4E" w:rsidP="005A1D4E">
      <w:pPr>
        <w:spacing w:line="600" w:lineRule="exact"/>
        <w:ind w:firstLineChars="200" w:firstLine="643"/>
        <w:rPr>
          <w:rStyle w:val="a7"/>
          <w:rFonts w:ascii="仿宋" w:eastAsia="仿宋" w:hAnsi="仿宋"/>
          <w:b w:val="0"/>
          <w:bCs/>
          <w:sz w:val="32"/>
          <w:szCs w:val="32"/>
        </w:rPr>
      </w:pPr>
      <w:r w:rsidRPr="005A1D4E">
        <w:rPr>
          <w:rStyle w:val="a7"/>
          <w:rFonts w:ascii="仿宋" w:eastAsia="仿宋" w:hAnsi="仿宋" w:hint="eastAsia"/>
          <w:bCs/>
          <w:sz w:val="32"/>
          <w:szCs w:val="32"/>
        </w:rPr>
        <w:t xml:space="preserve">2. 社会保障就业（类）行政事业单位养老（款）机关事业单位基本养老保险缴费支出（项）: </w:t>
      </w:r>
      <w:r w:rsidRPr="005A1D4E">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104.42</w:t>
      </w:r>
      <w:r w:rsidRPr="005A1D4E">
        <w:rPr>
          <w:rStyle w:val="a7"/>
          <w:rFonts w:ascii="仿宋" w:eastAsia="仿宋" w:hAnsi="仿宋" w:hint="eastAsia"/>
          <w:b w:val="0"/>
          <w:bCs/>
          <w:sz w:val="32"/>
          <w:szCs w:val="32"/>
        </w:rPr>
        <w:t>万元，完成预算100%。</w:t>
      </w:r>
    </w:p>
    <w:p w:rsidR="005A1D4E" w:rsidRPr="005A1D4E" w:rsidRDefault="005A1D4E" w:rsidP="005A1D4E">
      <w:pPr>
        <w:spacing w:line="600" w:lineRule="exact"/>
        <w:ind w:firstLineChars="200" w:firstLine="643"/>
        <w:rPr>
          <w:rStyle w:val="a7"/>
          <w:rFonts w:ascii="仿宋" w:eastAsia="仿宋" w:hAnsi="仿宋"/>
          <w:b w:val="0"/>
          <w:bCs/>
          <w:sz w:val="32"/>
          <w:szCs w:val="32"/>
        </w:rPr>
      </w:pPr>
      <w:r w:rsidRPr="005A1D4E">
        <w:rPr>
          <w:rStyle w:val="a7"/>
          <w:rFonts w:ascii="仿宋" w:eastAsia="仿宋" w:hAnsi="仿宋" w:hint="eastAsia"/>
          <w:bCs/>
          <w:sz w:val="32"/>
          <w:szCs w:val="32"/>
        </w:rPr>
        <w:t xml:space="preserve">3. 社会保障就业（类）行政事业单位养老（款）机关事业单位职业年金缴费支出（项）: </w:t>
      </w:r>
      <w:r w:rsidRPr="005A1D4E">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51.73</w:t>
      </w:r>
      <w:r w:rsidRPr="005A1D4E">
        <w:rPr>
          <w:rStyle w:val="a7"/>
          <w:rFonts w:ascii="仿宋" w:eastAsia="仿宋" w:hAnsi="仿宋" w:hint="eastAsia"/>
          <w:b w:val="0"/>
          <w:bCs/>
          <w:sz w:val="32"/>
          <w:szCs w:val="32"/>
        </w:rPr>
        <w:t>万元，完成预算100%。</w:t>
      </w:r>
    </w:p>
    <w:p w:rsidR="005A1D4E" w:rsidRPr="005A1D4E" w:rsidRDefault="005A1D4E" w:rsidP="005A1D4E">
      <w:pPr>
        <w:spacing w:line="600" w:lineRule="exact"/>
        <w:ind w:firstLineChars="200" w:firstLine="643"/>
        <w:rPr>
          <w:rStyle w:val="a7"/>
          <w:rFonts w:ascii="仿宋" w:eastAsia="仿宋" w:hAnsi="仿宋"/>
          <w:b w:val="0"/>
          <w:bCs/>
          <w:sz w:val="32"/>
          <w:szCs w:val="32"/>
        </w:rPr>
      </w:pPr>
      <w:r w:rsidRPr="005A1D4E">
        <w:rPr>
          <w:rStyle w:val="a7"/>
          <w:rFonts w:ascii="仿宋" w:eastAsia="仿宋" w:hAnsi="仿宋" w:hint="eastAsia"/>
          <w:bCs/>
          <w:sz w:val="32"/>
          <w:szCs w:val="32"/>
        </w:rPr>
        <w:t xml:space="preserve">4. 社会保障就业（类）其他社会保障和就业（款）其他社会保障和就业（项）: </w:t>
      </w:r>
      <w:r w:rsidRPr="005A1D4E">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2.05</w:t>
      </w:r>
      <w:r w:rsidRPr="005A1D4E">
        <w:rPr>
          <w:rStyle w:val="a7"/>
          <w:rFonts w:ascii="仿宋" w:eastAsia="仿宋" w:hAnsi="仿宋" w:hint="eastAsia"/>
          <w:b w:val="0"/>
          <w:bCs/>
          <w:sz w:val="32"/>
          <w:szCs w:val="32"/>
        </w:rPr>
        <w:t>万元，完成预算100%。</w:t>
      </w:r>
    </w:p>
    <w:p w:rsidR="005A1D4E" w:rsidRPr="005A1D4E" w:rsidRDefault="005A1D4E" w:rsidP="005A1D4E">
      <w:pPr>
        <w:spacing w:line="600" w:lineRule="exact"/>
        <w:ind w:firstLineChars="200" w:firstLine="643"/>
        <w:rPr>
          <w:rStyle w:val="a7"/>
          <w:rFonts w:ascii="仿宋" w:eastAsia="仿宋" w:hAnsi="仿宋"/>
          <w:bCs/>
          <w:sz w:val="32"/>
          <w:szCs w:val="32"/>
        </w:rPr>
      </w:pPr>
      <w:r w:rsidRPr="005A1D4E">
        <w:rPr>
          <w:rStyle w:val="a7"/>
          <w:rFonts w:ascii="仿宋" w:eastAsia="仿宋" w:hAnsi="仿宋" w:hint="eastAsia"/>
          <w:bCs/>
          <w:sz w:val="32"/>
          <w:szCs w:val="32"/>
        </w:rPr>
        <w:t xml:space="preserve">5. 卫生健康（类）行政事业单位医疗（款）事业单位医疗（项）: </w:t>
      </w:r>
      <w:r w:rsidRPr="005A1D4E">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68.22</w:t>
      </w:r>
      <w:r w:rsidRPr="005A1D4E">
        <w:rPr>
          <w:rStyle w:val="a7"/>
          <w:rFonts w:ascii="仿宋" w:eastAsia="仿宋" w:hAnsi="仿宋" w:hint="eastAsia"/>
          <w:b w:val="0"/>
          <w:bCs/>
          <w:sz w:val="32"/>
          <w:szCs w:val="32"/>
        </w:rPr>
        <w:t>万元，完成预算100%。</w:t>
      </w:r>
    </w:p>
    <w:p w:rsidR="005A1D4E" w:rsidRPr="005A1D4E" w:rsidRDefault="005A1D4E" w:rsidP="005A1D4E">
      <w:pPr>
        <w:spacing w:line="600" w:lineRule="exact"/>
        <w:ind w:firstLineChars="200" w:firstLine="643"/>
        <w:rPr>
          <w:rStyle w:val="a7"/>
          <w:rFonts w:ascii="仿宋" w:eastAsia="仿宋" w:hAnsi="仿宋"/>
          <w:b w:val="0"/>
          <w:bCs/>
          <w:sz w:val="32"/>
          <w:szCs w:val="32"/>
        </w:rPr>
      </w:pPr>
      <w:r w:rsidRPr="005A1D4E">
        <w:rPr>
          <w:rStyle w:val="a7"/>
          <w:rFonts w:ascii="仿宋" w:eastAsia="仿宋" w:hAnsi="仿宋" w:hint="eastAsia"/>
          <w:bCs/>
          <w:sz w:val="32"/>
          <w:szCs w:val="32"/>
        </w:rPr>
        <w:t>6. 资源勘探工业信息等（类）资源勘探开发（款）其他资源</w:t>
      </w:r>
      <w:proofErr w:type="gramStart"/>
      <w:r w:rsidRPr="005A1D4E">
        <w:rPr>
          <w:rStyle w:val="a7"/>
          <w:rFonts w:ascii="仿宋" w:eastAsia="仿宋" w:hAnsi="仿宋" w:hint="eastAsia"/>
          <w:bCs/>
          <w:sz w:val="32"/>
          <w:szCs w:val="32"/>
        </w:rPr>
        <w:t>勘探业支出</w:t>
      </w:r>
      <w:proofErr w:type="gramEnd"/>
      <w:r w:rsidRPr="005A1D4E">
        <w:rPr>
          <w:rStyle w:val="a7"/>
          <w:rFonts w:ascii="仿宋" w:eastAsia="仿宋" w:hAnsi="仿宋" w:hint="eastAsia"/>
          <w:bCs/>
          <w:sz w:val="32"/>
          <w:szCs w:val="32"/>
        </w:rPr>
        <w:t xml:space="preserve">（项）: </w:t>
      </w:r>
      <w:r w:rsidRPr="005A1D4E">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806.67</w:t>
      </w:r>
      <w:r w:rsidRPr="005A1D4E">
        <w:rPr>
          <w:rStyle w:val="a7"/>
          <w:rFonts w:ascii="仿宋" w:eastAsia="仿宋" w:hAnsi="仿宋" w:hint="eastAsia"/>
          <w:b w:val="0"/>
          <w:bCs/>
          <w:sz w:val="32"/>
          <w:szCs w:val="32"/>
        </w:rPr>
        <w:t>万元，完成预算100%。</w:t>
      </w:r>
    </w:p>
    <w:p w:rsidR="005A1D4E" w:rsidRPr="005A1D4E" w:rsidRDefault="005A1D4E" w:rsidP="005A1D4E">
      <w:pPr>
        <w:spacing w:line="600" w:lineRule="exact"/>
        <w:ind w:firstLineChars="200" w:firstLine="643"/>
        <w:rPr>
          <w:rStyle w:val="a7"/>
          <w:rFonts w:ascii="仿宋" w:eastAsia="仿宋" w:hAnsi="仿宋"/>
          <w:b w:val="0"/>
          <w:bCs/>
          <w:sz w:val="32"/>
          <w:szCs w:val="32"/>
        </w:rPr>
      </w:pPr>
      <w:r w:rsidRPr="005A1D4E">
        <w:rPr>
          <w:rStyle w:val="a7"/>
          <w:rFonts w:ascii="仿宋" w:eastAsia="仿宋" w:hAnsi="仿宋" w:hint="eastAsia"/>
          <w:bCs/>
          <w:sz w:val="32"/>
          <w:szCs w:val="32"/>
        </w:rPr>
        <w:t xml:space="preserve">7. 住房保障（类）住房改革（款）住房公积金（项）: </w:t>
      </w:r>
      <w:r w:rsidRPr="005A1D4E">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90.93</w:t>
      </w:r>
      <w:r w:rsidRPr="005A1D4E">
        <w:rPr>
          <w:rStyle w:val="a7"/>
          <w:rFonts w:ascii="仿宋" w:eastAsia="仿宋" w:hAnsi="仿宋" w:hint="eastAsia"/>
          <w:b w:val="0"/>
          <w:bCs/>
          <w:sz w:val="32"/>
          <w:szCs w:val="32"/>
        </w:rPr>
        <w:t>万元，完成预算100%。</w:t>
      </w:r>
    </w:p>
    <w:p w:rsidR="005A1D4E" w:rsidRPr="005A1D4E" w:rsidRDefault="005A1D4E" w:rsidP="005A1D4E">
      <w:pPr>
        <w:spacing w:line="600" w:lineRule="exact"/>
        <w:ind w:firstLineChars="200" w:firstLine="643"/>
        <w:rPr>
          <w:rStyle w:val="a7"/>
          <w:rFonts w:ascii="仿宋" w:eastAsia="仿宋" w:hAnsi="仿宋"/>
          <w:b w:val="0"/>
          <w:bCs/>
          <w:sz w:val="32"/>
          <w:szCs w:val="32"/>
        </w:rPr>
      </w:pPr>
      <w:r w:rsidRPr="005A1D4E">
        <w:rPr>
          <w:rStyle w:val="a7"/>
          <w:rFonts w:ascii="仿宋" w:eastAsia="仿宋" w:hAnsi="仿宋" w:hint="eastAsia"/>
          <w:bCs/>
          <w:sz w:val="32"/>
          <w:szCs w:val="32"/>
        </w:rPr>
        <w:t xml:space="preserve">8. 住房保障（类）住房改革（款）购房补贴（项）: </w:t>
      </w:r>
      <w:r w:rsidRPr="005A1D4E">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64.72</w:t>
      </w:r>
      <w:r w:rsidRPr="005A1D4E">
        <w:rPr>
          <w:rStyle w:val="a7"/>
          <w:rFonts w:ascii="仿宋" w:eastAsia="仿宋" w:hAnsi="仿宋" w:hint="eastAsia"/>
          <w:b w:val="0"/>
          <w:bCs/>
          <w:sz w:val="32"/>
          <w:szCs w:val="32"/>
        </w:rPr>
        <w:t>万元，完成预算100%。</w:t>
      </w:r>
    </w:p>
    <w:p w:rsidR="009679CE" w:rsidRDefault="00857F15">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9679CE" w:rsidRDefault="00857F15">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sidR="001A7638" w:rsidRPr="001A7638">
        <w:rPr>
          <w:rFonts w:ascii="仿宋" w:eastAsia="仿宋" w:hAnsi="仿宋"/>
          <w:sz w:val="32"/>
          <w:szCs w:val="32"/>
        </w:rPr>
        <w:t>1609.8</w:t>
      </w:r>
      <w:r>
        <w:rPr>
          <w:rFonts w:ascii="仿宋" w:eastAsia="仿宋" w:hAnsi="仿宋" w:hint="eastAsia"/>
          <w:sz w:val="32"/>
          <w:szCs w:val="32"/>
        </w:rPr>
        <w:t>万元，其中：</w:t>
      </w:r>
    </w:p>
    <w:p w:rsidR="009679CE" w:rsidRDefault="00857F15">
      <w:pPr>
        <w:spacing w:line="600" w:lineRule="exact"/>
        <w:ind w:firstLine="645"/>
        <w:rPr>
          <w:rFonts w:ascii="仿宋" w:eastAsia="仿宋" w:hAnsi="仿宋"/>
          <w:sz w:val="32"/>
          <w:szCs w:val="32"/>
        </w:rPr>
      </w:pPr>
      <w:r>
        <w:rPr>
          <w:rFonts w:ascii="仿宋" w:eastAsia="仿宋" w:hAnsi="仿宋" w:hint="eastAsia"/>
          <w:sz w:val="32"/>
          <w:szCs w:val="32"/>
        </w:rPr>
        <w:lastRenderedPageBreak/>
        <w:t>人员经费</w:t>
      </w:r>
      <w:r w:rsidR="001A7638">
        <w:rPr>
          <w:rFonts w:ascii="仿宋" w:eastAsia="仿宋" w:hAnsi="仿宋" w:hint="eastAsia"/>
          <w:sz w:val="32"/>
          <w:szCs w:val="32"/>
        </w:rPr>
        <w:t>1570.44</w:t>
      </w:r>
      <w:r>
        <w:rPr>
          <w:rFonts w:ascii="仿宋" w:eastAsia="仿宋" w:hAnsi="仿宋" w:hint="eastAsia"/>
          <w:sz w:val="32"/>
          <w:szCs w:val="32"/>
        </w:rPr>
        <w:t>万元，主要包括：基本工资、津贴补贴、奖金、绩效工资、机关事业单位基本养老保险缴费、职业年金缴费、其他社会保障缴费、其他工资福利支出、退休费、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1A7638">
        <w:rPr>
          <w:rFonts w:ascii="仿宋" w:eastAsia="仿宋" w:hAnsi="仿宋" w:hint="eastAsia"/>
          <w:sz w:val="32"/>
          <w:szCs w:val="32"/>
        </w:rPr>
        <w:t>39.36</w:t>
      </w:r>
      <w:r>
        <w:rPr>
          <w:rFonts w:ascii="仿宋" w:eastAsia="仿宋" w:hAnsi="仿宋" w:hint="eastAsia"/>
          <w:sz w:val="32"/>
          <w:szCs w:val="32"/>
        </w:rPr>
        <w:t>万元，主要包括：办公费、工会经费、福利费</w:t>
      </w:r>
      <w:r w:rsidR="001A7638">
        <w:rPr>
          <w:rFonts w:ascii="仿宋" w:eastAsia="仿宋" w:hAnsi="仿宋" w:hint="eastAsia"/>
          <w:sz w:val="32"/>
          <w:szCs w:val="32"/>
        </w:rPr>
        <w:t>、离退休公用经费</w:t>
      </w:r>
      <w:r>
        <w:rPr>
          <w:rFonts w:ascii="仿宋" w:eastAsia="仿宋" w:hAnsi="仿宋" w:hint="eastAsia"/>
          <w:sz w:val="32"/>
          <w:szCs w:val="32"/>
        </w:rPr>
        <w:t>。</w:t>
      </w:r>
    </w:p>
    <w:p w:rsidR="009679CE" w:rsidRDefault="00857F15">
      <w:pPr>
        <w:spacing w:line="600" w:lineRule="exact"/>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7"/>
      <w:bookmarkEnd w:id="38"/>
    </w:p>
    <w:p w:rsidR="009679CE" w:rsidRDefault="00857F15">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9679CE" w:rsidRDefault="005A6187">
      <w:pPr>
        <w:spacing w:line="600" w:lineRule="exact"/>
        <w:ind w:firstLine="640"/>
        <w:rPr>
          <w:rFonts w:ascii="仿宋" w:eastAsia="仿宋" w:hAnsi="仿宋"/>
          <w:sz w:val="32"/>
          <w:szCs w:val="32"/>
        </w:rPr>
      </w:pPr>
      <w:r w:rsidRPr="005A6187">
        <w:rPr>
          <w:rFonts w:ascii="仿宋" w:eastAsia="仿宋" w:hAnsi="仿宋" w:hint="eastAsia"/>
          <w:sz w:val="32"/>
          <w:szCs w:val="32"/>
        </w:rPr>
        <w:t>本单位为事业单位，无三公经费。20</w:t>
      </w:r>
      <w:r>
        <w:rPr>
          <w:rFonts w:ascii="仿宋" w:eastAsia="仿宋" w:hAnsi="仿宋" w:hint="eastAsia"/>
          <w:sz w:val="32"/>
          <w:szCs w:val="32"/>
        </w:rPr>
        <w:t>20</w:t>
      </w:r>
      <w:r w:rsidRPr="005A6187">
        <w:rPr>
          <w:rFonts w:ascii="仿宋" w:eastAsia="仿宋" w:hAnsi="仿宋" w:hint="eastAsia"/>
          <w:sz w:val="32"/>
          <w:szCs w:val="32"/>
        </w:rPr>
        <w:t>年三</w:t>
      </w:r>
      <w:proofErr w:type="gramStart"/>
      <w:r w:rsidRPr="005A6187">
        <w:rPr>
          <w:rFonts w:ascii="仿宋" w:eastAsia="仿宋" w:hAnsi="仿宋" w:hint="eastAsia"/>
          <w:sz w:val="32"/>
          <w:szCs w:val="32"/>
        </w:rPr>
        <w:t>公经费</w:t>
      </w:r>
      <w:proofErr w:type="gramEnd"/>
      <w:r w:rsidRPr="005A6187">
        <w:rPr>
          <w:rFonts w:ascii="仿宋" w:eastAsia="仿宋" w:hAnsi="仿宋" w:hint="eastAsia"/>
          <w:sz w:val="32"/>
          <w:szCs w:val="32"/>
        </w:rPr>
        <w:t>为0，202</w:t>
      </w:r>
      <w:r>
        <w:rPr>
          <w:rFonts w:ascii="仿宋" w:eastAsia="仿宋" w:hAnsi="仿宋" w:hint="eastAsia"/>
          <w:sz w:val="32"/>
          <w:szCs w:val="32"/>
        </w:rPr>
        <w:t>1</w:t>
      </w:r>
      <w:r w:rsidRPr="005A6187">
        <w:rPr>
          <w:rFonts w:ascii="仿宋" w:eastAsia="仿宋" w:hAnsi="仿宋" w:hint="eastAsia"/>
          <w:sz w:val="32"/>
          <w:szCs w:val="32"/>
        </w:rPr>
        <w:t>年三</w:t>
      </w:r>
      <w:proofErr w:type="gramStart"/>
      <w:r w:rsidRPr="005A6187">
        <w:rPr>
          <w:rFonts w:ascii="仿宋" w:eastAsia="仿宋" w:hAnsi="仿宋" w:hint="eastAsia"/>
          <w:sz w:val="32"/>
          <w:szCs w:val="32"/>
        </w:rPr>
        <w:t>公经费</w:t>
      </w:r>
      <w:proofErr w:type="gramEnd"/>
      <w:r w:rsidRPr="005A6187">
        <w:rPr>
          <w:rFonts w:ascii="仿宋" w:eastAsia="仿宋" w:hAnsi="仿宋" w:hint="eastAsia"/>
          <w:sz w:val="32"/>
          <w:szCs w:val="32"/>
        </w:rPr>
        <w:t>为0，与上年度一致，与上年度相比无增减变化</w:t>
      </w:r>
      <w:r>
        <w:rPr>
          <w:rFonts w:ascii="仿宋" w:eastAsia="仿宋" w:hAnsi="仿宋" w:hint="eastAsia"/>
          <w:sz w:val="32"/>
          <w:szCs w:val="32"/>
        </w:rPr>
        <w:t>。</w:t>
      </w:r>
    </w:p>
    <w:p w:rsidR="009679CE" w:rsidRDefault="00857F15">
      <w:pPr>
        <w:spacing w:line="60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AC6285" w:rsidRDefault="00AC6285">
      <w:pPr>
        <w:spacing w:line="600" w:lineRule="exact"/>
        <w:ind w:firstLine="640"/>
        <w:rPr>
          <w:rFonts w:ascii="仿宋" w:eastAsia="仿宋" w:hAnsi="仿宋"/>
          <w:sz w:val="32"/>
          <w:szCs w:val="32"/>
        </w:rPr>
      </w:pPr>
      <w:r w:rsidRPr="00AC6285">
        <w:rPr>
          <w:rFonts w:ascii="仿宋" w:eastAsia="仿宋" w:hAnsi="仿宋" w:hint="eastAsia"/>
          <w:sz w:val="32"/>
          <w:szCs w:val="32"/>
        </w:rPr>
        <w:t>本单位为事业单位，无三公经费。</w:t>
      </w:r>
    </w:p>
    <w:p w:rsidR="009679CE" w:rsidRDefault="00857F15">
      <w:pPr>
        <w:spacing w:line="600" w:lineRule="exact"/>
        <w:ind w:firstLine="640"/>
        <w:outlineLvl w:val="1"/>
        <w:rPr>
          <w:rStyle w:val="2Char"/>
          <w:rFonts w:ascii="黑体" w:eastAsia="黑体" w:hAnsi="黑体"/>
        </w:rPr>
      </w:pPr>
      <w:bookmarkStart w:id="41" w:name="_Toc15396610"/>
      <w:bookmarkStart w:id="42"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9679CE" w:rsidRDefault="00AC6285">
      <w:pPr>
        <w:spacing w:line="600" w:lineRule="exact"/>
        <w:ind w:firstLine="640"/>
        <w:rPr>
          <w:rFonts w:ascii="仿宋_GB2312" w:eastAsia="仿宋_GB2312"/>
          <w:sz w:val="32"/>
          <w:szCs w:val="32"/>
        </w:rPr>
      </w:pPr>
      <w:r w:rsidRPr="00AC6285">
        <w:rPr>
          <w:rFonts w:ascii="仿宋_GB2312" w:eastAsia="仿宋_GB2312" w:hint="eastAsia"/>
          <w:sz w:val="32"/>
          <w:szCs w:val="32"/>
        </w:rPr>
        <w:t>我厂202</w:t>
      </w:r>
      <w:r>
        <w:rPr>
          <w:rFonts w:ascii="仿宋_GB2312" w:eastAsia="仿宋_GB2312" w:hint="eastAsia"/>
          <w:sz w:val="32"/>
          <w:szCs w:val="32"/>
        </w:rPr>
        <w:t>1</w:t>
      </w:r>
      <w:r w:rsidRPr="00AC6285">
        <w:rPr>
          <w:rFonts w:ascii="仿宋_GB2312" w:eastAsia="仿宋_GB2312" w:hint="eastAsia"/>
          <w:sz w:val="32"/>
          <w:szCs w:val="32"/>
        </w:rPr>
        <w:t>年没有政府性基金预算支出。</w:t>
      </w:r>
    </w:p>
    <w:p w:rsidR="00AC6285" w:rsidRDefault="00857F15" w:rsidP="00AC6285">
      <w:pPr>
        <w:numPr>
          <w:ilvl w:val="0"/>
          <w:numId w:val="2"/>
        </w:numPr>
        <w:spacing w:line="600" w:lineRule="exact"/>
        <w:ind w:firstLine="640"/>
        <w:outlineLvl w:val="1"/>
        <w:rPr>
          <w:rStyle w:val="2Char"/>
          <w:rFonts w:ascii="黑体" w:eastAsia="黑体" w:hAnsi="黑体"/>
          <w:b w:val="0"/>
        </w:rPr>
      </w:pPr>
      <w:bookmarkStart w:id="43" w:name="_Toc15377219"/>
      <w:bookmarkStart w:id="44" w:name="_Toc15396611"/>
      <w:r>
        <w:rPr>
          <w:rStyle w:val="2Char"/>
          <w:rFonts w:ascii="黑体" w:eastAsia="黑体" w:hAnsi="黑体" w:hint="eastAsia"/>
          <w:b w:val="0"/>
        </w:rPr>
        <w:t>国有资本经营预算支出决算情况说明</w:t>
      </w:r>
      <w:bookmarkEnd w:id="43"/>
      <w:bookmarkEnd w:id="44"/>
    </w:p>
    <w:p w:rsidR="009679CE" w:rsidRPr="00AC6285" w:rsidRDefault="00AC6285" w:rsidP="00AC6285">
      <w:pPr>
        <w:spacing w:line="600" w:lineRule="exact"/>
        <w:ind w:firstLineChars="221" w:firstLine="707"/>
        <w:outlineLvl w:val="1"/>
        <w:rPr>
          <w:rFonts w:ascii="黑体" w:eastAsia="黑体" w:hAnsi="黑体" w:cstheme="majorBidi"/>
          <w:bCs/>
          <w:sz w:val="32"/>
          <w:szCs w:val="32"/>
        </w:rPr>
      </w:pPr>
      <w:r w:rsidRPr="00AC6285">
        <w:rPr>
          <w:rFonts w:ascii="仿宋_GB2312" w:eastAsia="仿宋_GB2312" w:hint="eastAsia"/>
          <w:sz w:val="32"/>
          <w:szCs w:val="32"/>
        </w:rPr>
        <w:t>我厂2021年没有国有资本经营预算财政拨款支出。</w:t>
      </w:r>
    </w:p>
    <w:p w:rsidR="009679CE" w:rsidRDefault="00857F15">
      <w:pPr>
        <w:numPr>
          <w:ilvl w:val="0"/>
          <w:numId w:val="2"/>
        </w:numPr>
        <w:spacing w:line="600" w:lineRule="exact"/>
        <w:ind w:firstLine="640"/>
        <w:outlineLvl w:val="1"/>
        <w:rPr>
          <w:rStyle w:val="2Char"/>
          <w:rFonts w:ascii="黑体" w:eastAsia="黑体" w:hAnsi="黑体"/>
          <w:b w:val="0"/>
        </w:rPr>
      </w:pPr>
      <w:bookmarkStart w:id="45" w:name="_Toc15396612"/>
      <w:bookmarkStart w:id="46" w:name="_Toc15377221"/>
      <w:r>
        <w:rPr>
          <w:rStyle w:val="2Char"/>
          <w:rFonts w:ascii="黑体" w:eastAsia="黑体" w:hAnsi="黑体" w:hint="eastAsia"/>
          <w:b w:val="0"/>
        </w:rPr>
        <w:t>其他重要事项的情况说明</w:t>
      </w:r>
      <w:bookmarkEnd w:id="45"/>
      <w:bookmarkEnd w:id="46"/>
    </w:p>
    <w:p w:rsidR="009679CE" w:rsidRDefault="00857F15">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9679CE" w:rsidRDefault="00AC6285" w:rsidP="00AC6285">
      <w:pPr>
        <w:spacing w:line="600" w:lineRule="exact"/>
        <w:ind w:firstLineChars="200" w:firstLine="640"/>
        <w:rPr>
          <w:rFonts w:ascii="仿宋" w:eastAsia="仿宋" w:hAnsi="仿宋"/>
          <w:b/>
          <w:sz w:val="32"/>
          <w:szCs w:val="32"/>
        </w:rPr>
      </w:pPr>
      <w:r w:rsidRPr="00AC6285">
        <w:rPr>
          <w:rFonts w:ascii="仿宋_GB2312" w:eastAsia="仿宋_GB2312" w:hint="eastAsia"/>
          <w:sz w:val="32"/>
          <w:szCs w:val="32"/>
        </w:rPr>
        <w:t>我厂202</w:t>
      </w:r>
      <w:r>
        <w:rPr>
          <w:rFonts w:ascii="仿宋_GB2312" w:eastAsia="仿宋_GB2312" w:hint="eastAsia"/>
          <w:sz w:val="32"/>
          <w:szCs w:val="32"/>
        </w:rPr>
        <w:t>1</w:t>
      </w:r>
      <w:r w:rsidRPr="00AC6285">
        <w:rPr>
          <w:rFonts w:ascii="仿宋_GB2312" w:eastAsia="仿宋_GB2312" w:hint="eastAsia"/>
          <w:sz w:val="32"/>
          <w:szCs w:val="32"/>
        </w:rPr>
        <w:t>年没有机关运行经费支出。</w:t>
      </w:r>
    </w:p>
    <w:p w:rsidR="009679CE" w:rsidRDefault="00857F15">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9679CE" w:rsidRDefault="00AC6285" w:rsidP="00AC6285">
      <w:pPr>
        <w:spacing w:line="600" w:lineRule="exact"/>
        <w:ind w:firstLineChars="200" w:firstLine="640"/>
        <w:rPr>
          <w:rFonts w:ascii="仿宋" w:eastAsia="仿宋" w:hAnsi="仿宋"/>
          <w:b/>
          <w:sz w:val="32"/>
          <w:szCs w:val="32"/>
        </w:rPr>
      </w:pPr>
      <w:r w:rsidRPr="00AC6285">
        <w:rPr>
          <w:rFonts w:ascii="仿宋_GB2312" w:eastAsia="仿宋_GB2312" w:hint="eastAsia"/>
          <w:sz w:val="32"/>
          <w:szCs w:val="32"/>
        </w:rPr>
        <w:t>我厂202</w:t>
      </w:r>
      <w:r>
        <w:rPr>
          <w:rFonts w:ascii="仿宋_GB2312" w:eastAsia="仿宋_GB2312" w:hint="eastAsia"/>
          <w:sz w:val="32"/>
          <w:szCs w:val="32"/>
        </w:rPr>
        <w:t>1</w:t>
      </w:r>
      <w:r w:rsidRPr="00AC6285">
        <w:rPr>
          <w:rFonts w:ascii="仿宋_GB2312" w:eastAsia="仿宋_GB2312" w:hint="eastAsia"/>
          <w:sz w:val="32"/>
          <w:szCs w:val="32"/>
        </w:rPr>
        <w:t>年没有政府采购支出。</w:t>
      </w:r>
    </w:p>
    <w:p w:rsidR="009679CE" w:rsidRDefault="00857F15">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9679CE" w:rsidRDefault="00AC6285" w:rsidP="00AC6285">
      <w:pPr>
        <w:autoSpaceDE w:val="0"/>
        <w:autoSpaceDN w:val="0"/>
        <w:adjustRightInd w:val="0"/>
        <w:spacing w:line="600" w:lineRule="exact"/>
        <w:ind w:firstLineChars="200" w:firstLine="640"/>
        <w:jc w:val="left"/>
        <w:rPr>
          <w:rFonts w:ascii="仿宋" w:eastAsia="仿宋" w:hAnsi="仿宋"/>
          <w:b/>
          <w:sz w:val="32"/>
          <w:szCs w:val="32"/>
        </w:rPr>
      </w:pPr>
      <w:r w:rsidRPr="00AC6285">
        <w:rPr>
          <w:rFonts w:ascii="仿宋_GB2312" w:eastAsia="仿宋_GB2312" w:hint="eastAsia"/>
          <w:sz w:val="32"/>
          <w:szCs w:val="32"/>
        </w:rPr>
        <w:lastRenderedPageBreak/>
        <w:t>截至202</w:t>
      </w:r>
      <w:r>
        <w:rPr>
          <w:rFonts w:ascii="仿宋_GB2312" w:eastAsia="仿宋_GB2312" w:hint="eastAsia"/>
          <w:sz w:val="32"/>
          <w:szCs w:val="32"/>
        </w:rPr>
        <w:t>1</w:t>
      </w:r>
      <w:r w:rsidRPr="00AC6285">
        <w:rPr>
          <w:rFonts w:ascii="仿宋_GB2312" w:eastAsia="仿宋_GB2312" w:hint="eastAsia"/>
          <w:sz w:val="32"/>
          <w:szCs w:val="32"/>
        </w:rPr>
        <w:t>年12月31日，我厂共有车辆1辆，其中：为其他用车1辆，其他用车主要是用于开展业务工作。没有单价50万元以上的设备。</w:t>
      </w:r>
    </w:p>
    <w:p w:rsidR="009679CE" w:rsidRDefault="00857F15">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AC6285" w:rsidRPr="00AC6285" w:rsidRDefault="00AC6285" w:rsidP="00AC6285">
      <w:pPr>
        <w:pStyle w:val="a0"/>
        <w:spacing w:beforeLines="0"/>
        <w:ind w:firstLineChars="200" w:firstLine="640"/>
        <w:rPr>
          <w:kern w:val="2"/>
          <w:sz w:val="32"/>
          <w:szCs w:val="32"/>
        </w:rPr>
      </w:pPr>
      <w:r w:rsidRPr="00AC6285">
        <w:rPr>
          <w:rFonts w:hint="eastAsia"/>
          <w:kern w:val="2"/>
          <w:sz w:val="32"/>
          <w:szCs w:val="32"/>
        </w:rPr>
        <w:t>我厂2021年度没有项目支出。</w:t>
      </w:r>
    </w:p>
    <w:p w:rsidR="009679CE" w:rsidRPr="00AC6285" w:rsidRDefault="00AC6285" w:rsidP="00AC6285">
      <w:pPr>
        <w:pStyle w:val="a0"/>
        <w:spacing w:beforeLines="0"/>
        <w:ind w:firstLineChars="200" w:firstLine="640"/>
        <w:rPr>
          <w:kern w:val="2"/>
          <w:sz w:val="32"/>
          <w:szCs w:val="32"/>
        </w:rPr>
      </w:pPr>
      <w:r w:rsidRPr="00AC6285">
        <w:rPr>
          <w:rFonts w:hint="eastAsia"/>
          <w:kern w:val="2"/>
          <w:sz w:val="32"/>
          <w:szCs w:val="32"/>
        </w:rPr>
        <w:t>本单位按要求对2020年整体支出开展绩效自评，从评价情况来看我厂部门预算编制较为准确、报送及时，对支出进行了动态管理和监控，没有部门预算管理中的违法违规问题。本单位无专项预算项目，因此未组织开展项目支出绩效评价。</w:t>
      </w:r>
    </w:p>
    <w:p w:rsidR="009679CE" w:rsidRDefault="00857F15">
      <w:pPr>
        <w:widowControl/>
        <w:jc w:val="left"/>
        <w:rPr>
          <w:rFonts w:ascii="仿宋_GB2312" w:eastAsia="仿宋_GB2312"/>
          <w:b/>
          <w:sz w:val="32"/>
          <w:szCs w:val="32"/>
        </w:rPr>
      </w:pPr>
      <w:r>
        <w:rPr>
          <w:rFonts w:ascii="仿宋_GB2312" w:eastAsia="仿宋_GB2312"/>
          <w:b/>
          <w:sz w:val="32"/>
          <w:szCs w:val="32"/>
        </w:rPr>
        <w:br w:type="page"/>
      </w:r>
    </w:p>
    <w:p w:rsidR="009679CE" w:rsidRDefault="00857F15">
      <w:pPr>
        <w:numPr>
          <w:ilvl w:val="0"/>
          <w:numId w:val="3"/>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9679CE" w:rsidRDefault="009679CE" w:rsidP="00AC6285">
      <w:pPr>
        <w:spacing w:line="600" w:lineRule="exact"/>
        <w:ind w:firstLineChars="200" w:firstLine="883"/>
        <w:jc w:val="left"/>
        <w:rPr>
          <w:rFonts w:ascii="宋体"/>
          <w:b/>
          <w:sz w:val="44"/>
          <w:szCs w:val="44"/>
        </w:rPr>
      </w:pP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bookmarkStart w:id="52" w:name="_Toc15377226"/>
      <w:r w:rsidRPr="00AC6285">
        <w:rPr>
          <w:rFonts w:ascii="仿宋_GB2312" w:eastAsia="仿宋_GB2312" w:hAnsi="Calibri" w:cs="仿宋" w:hint="eastAsia"/>
          <w:kern w:val="0"/>
          <w:sz w:val="32"/>
          <w:szCs w:val="32"/>
        </w:rPr>
        <w:t>1.财政拨款收入：指单位从同级财政部门取得的财政预算资金。</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 xml:space="preserve">2.其他收入：指单位取得的除上述收入以外的各项收入。主要是离休干部医疗补助。 </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3. 社会保障就业（类）行政事业单位养老（款）事业单位离退休（项）: 指用于局属事业单位离退休人员工资及生活补贴。</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4. 社会保障就业（类）行政事业单位养老（款）机关事业单位基本养老保险缴费支出（项）: 指部门实施养老保险制度由单位缴纳的养老保险费的支出。</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5. 社会保障就业（类）行政事业单位养老（款）机关事业单位职业年金缴费支出（项）: 指部门实施养老保险制度由单位缴纳的职业年金的支出。</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6. 社会保障就业（类）其他社会保障和就业（款）其他社会保障和就业（项）: 指用于行政事业单位离退休其他方面的支出（6.30人员特殊困难补助）。</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7. 卫生健康（类）行政事业单位医疗（款）事业单位医疗（项）: 指事业单位用于缴纳单位基本医疗保险支出。</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8. 资源勘探工业信息等（类）资源勘探开发（款）其他资源</w:t>
      </w:r>
      <w:proofErr w:type="gramStart"/>
      <w:r w:rsidRPr="00AC6285">
        <w:rPr>
          <w:rFonts w:ascii="仿宋_GB2312" w:eastAsia="仿宋_GB2312" w:hAnsi="Calibri" w:cs="仿宋" w:hint="eastAsia"/>
          <w:kern w:val="0"/>
          <w:sz w:val="32"/>
          <w:szCs w:val="32"/>
        </w:rPr>
        <w:t>勘探业支出</w:t>
      </w:r>
      <w:proofErr w:type="gramEnd"/>
      <w:r w:rsidRPr="00AC6285">
        <w:rPr>
          <w:rFonts w:ascii="仿宋_GB2312" w:eastAsia="仿宋_GB2312" w:hAnsi="Calibri" w:cs="仿宋" w:hint="eastAsia"/>
          <w:kern w:val="0"/>
          <w:sz w:val="32"/>
          <w:szCs w:val="32"/>
        </w:rPr>
        <w:t>（项）: 指事业单位用于保障机构正常运行、开展日常工作的基本支出。</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lastRenderedPageBreak/>
        <w:t>9. 住房保障（类）住房改革（款）住房公积金（项）: 指用于行政事业单位按规定为在职职工缴纳的住房公积金。</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10. 住房保障（类）住房改革（款）购房补贴（项）: 指用于按房改规定，向符合条件的无房职工发放的用于购买住房的补贴。</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11.基本支出：指为保障机构正常运转、完成日常工作任务而发生的人员支出和公用支出。</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 xml:space="preserve">12.项目支出：指在基本支出之外为完成特定行政任务和事业发展目标所发生的支出。 </w:t>
      </w:r>
    </w:p>
    <w:p w:rsidR="00AC6285" w:rsidRPr="00AC6285" w:rsidRDefault="00AC6285" w:rsidP="00AC6285">
      <w:pPr>
        <w:spacing w:line="600" w:lineRule="exact"/>
        <w:ind w:firstLineChars="200" w:firstLine="640"/>
        <w:jc w:val="left"/>
        <w:outlineLvl w:val="0"/>
        <w:rPr>
          <w:rFonts w:ascii="仿宋_GB2312" w:eastAsia="仿宋_GB2312" w:hAnsi="Calibri" w:cs="仿宋"/>
          <w:kern w:val="0"/>
          <w:sz w:val="32"/>
          <w:szCs w:val="32"/>
        </w:rPr>
      </w:pPr>
      <w:r w:rsidRPr="00AC6285">
        <w:rPr>
          <w:rFonts w:ascii="仿宋_GB2312" w:eastAsia="仿宋_GB2312" w:hAnsi="Calibri" w:cs="仿宋" w:hint="eastAsia"/>
          <w:kern w:val="0"/>
          <w:sz w:val="32"/>
          <w:szCs w:val="32"/>
        </w:rPr>
        <w:t>13.经营支出：指事业单位在专业业务活动及其辅助活动之外开展非独立核算经营活动发生的支出。</w:t>
      </w:r>
    </w:p>
    <w:p w:rsidR="009679CE" w:rsidRDefault="00AC6285" w:rsidP="00AC6285">
      <w:pPr>
        <w:spacing w:line="600" w:lineRule="exact"/>
        <w:ind w:firstLineChars="200" w:firstLine="640"/>
        <w:jc w:val="left"/>
        <w:outlineLvl w:val="0"/>
      </w:pPr>
      <w:r w:rsidRPr="00AC6285">
        <w:rPr>
          <w:rFonts w:ascii="仿宋_GB2312" w:eastAsia="仿宋_GB2312" w:hAnsi="Calibri" w:cs="仿宋" w:hint="eastAsia"/>
          <w:kern w:val="0"/>
          <w:sz w:val="32"/>
          <w:szCs w:val="32"/>
        </w:rPr>
        <w:t>14.“三公”经费：指单位用财政拨款安排的因公出国（境）费、公务用车购置及运行费和公务接待费。其中，因公出国（境）</w:t>
      </w:r>
      <w:proofErr w:type="gramStart"/>
      <w:r w:rsidRPr="00AC6285">
        <w:rPr>
          <w:rFonts w:ascii="仿宋_GB2312" w:eastAsia="仿宋_GB2312" w:hAnsi="Calibri" w:cs="仿宋" w:hint="eastAsia"/>
          <w:kern w:val="0"/>
          <w:sz w:val="32"/>
          <w:szCs w:val="32"/>
        </w:rPr>
        <w:t>费反映</w:t>
      </w:r>
      <w:proofErr w:type="gramEnd"/>
      <w:r w:rsidRPr="00AC6285">
        <w:rPr>
          <w:rFonts w:ascii="仿宋_GB2312" w:eastAsia="仿宋_GB2312" w:hAnsi="Calibri" w:cs="仿宋" w:hint="eastAsia"/>
          <w:kern w:val="0"/>
          <w:sz w:val="32"/>
          <w:szCs w:val="32"/>
        </w:rPr>
        <w:t>单位公务出国（境）的国际旅费、国外城市间交通费、住宿费、伙食费、培训费、公杂费等支出；公务用车购置及运行</w:t>
      </w:r>
      <w:proofErr w:type="gramStart"/>
      <w:r w:rsidRPr="00AC6285">
        <w:rPr>
          <w:rFonts w:ascii="仿宋_GB2312" w:eastAsia="仿宋_GB2312" w:hAnsi="Calibri" w:cs="仿宋" w:hint="eastAsia"/>
          <w:kern w:val="0"/>
          <w:sz w:val="32"/>
          <w:szCs w:val="32"/>
        </w:rPr>
        <w:t>费反映</w:t>
      </w:r>
      <w:proofErr w:type="gramEnd"/>
      <w:r w:rsidRPr="00AC6285">
        <w:rPr>
          <w:rFonts w:ascii="仿宋_GB2312" w:eastAsia="仿宋_GB2312" w:hAnsi="Calibri" w:cs="仿宋" w:hint="eastAsia"/>
          <w:kern w:val="0"/>
          <w:sz w:val="32"/>
          <w:szCs w:val="32"/>
        </w:rPr>
        <w:t>单位公务用车车辆购置支出（</w:t>
      </w:r>
      <w:proofErr w:type="gramStart"/>
      <w:r w:rsidRPr="00AC6285">
        <w:rPr>
          <w:rFonts w:ascii="仿宋_GB2312" w:eastAsia="仿宋_GB2312" w:hAnsi="Calibri" w:cs="仿宋" w:hint="eastAsia"/>
          <w:kern w:val="0"/>
          <w:sz w:val="32"/>
          <w:szCs w:val="32"/>
        </w:rPr>
        <w:t>含车辆</w:t>
      </w:r>
      <w:proofErr w:type="gramEnd"/>
      <w:r w:rsidRPr="00AC6285">
        <w:rPr>
          <w:rFonts w:ascii="仿宋_GB2312" w:eastAsia="仿宋_GB2312" w:hAnsi="Calibri" w:cs="仿宋" w:hint="eastAsia"/>
          <w:kern w:val="0"/>
          <w:sz w:val="32"/>
          <w:szCs w:val="32"/>
        </w:rPr>
        <w:t>购置税）及租用费、燃料费、维修费、过路过桥费、保险费等支出；公务接待</w:t>
      </w:r>
      <w:proofErr w:type="gramStart"/>
      <w:r w:rsidRPr="00AC6285">
        <w:rPr>
          <w:rFonts w:ascii="仿宋_GB2312" w:eastAsia="仿宋_GB2312" w:hAnsi="Calibri" w:cs="仿宋" w:hint="eastAsia"/>
          <w:kern w:val="0"/>
          <w:sz w:val="32"/>
          <w:szCs w:val="32"/>
        </w:rPr>
        <w:t>费反映</w:t>
      </w:r>
      <w:proofErr w:type="gramEnd"/>
      <w:r w:rsidRPr="00AC6285">
        <w:rPr>
          <w:rFonts w:ascii="仿宋_GB2312" w:eastAsia="仿宋_GB2312" w:hAnsi="Calibri" w:cs="仿宋" w:hint="eastAsia"/>
          <w:kern w:val="0"/>
          <w:sz w:val="32"/>
          <w:szCs w:val="32"/>
        </w:rPr>
        <w:t>单位按规定开支的各类公务接待（含外宾接待）支出。</w:t>
      </w:r>
      <w:r w:rsidR="00857F15">
        <w:rPr>
          <w:rFonts w:ascii="宋体"/>
          <w:b/>
          <w:sz w:val="44"/>
          <w:szCs w:val="44"/>
        </w:rPr>
        <w:br w:type="page"/>
      </w:r>
      <w:bookmarkStart w:id="53" w:name="_Toc15396618"/>
    </w:p>
    <w:p w:rsidR="009679CE" w:rsidRDefault="00857F15">
      <w:pPr>
        <w:spacing w:line="600" w:lineRule="exact"/>
        <w:jc w:val="center"/>
        <w:outlineLvl w:val="0"/>
        <w:rPr>
          <w:rFonts w:ascii="仿宋" w:eastAsia="仿宋" w:hAnsi="仿宋"/>
        </w:rPr>
      </w:pPr>
      <w:r>
        <w:rPr>
          <w:rFonts w:ascii="黑体" w:eastAsia="黑体" w:hAnsi="黑体" w:hint="eastAsia"/>
          <w:sz w:val="44"/>
          <w:szCs w:val="44"/>
        </w:rPr>
        <w:lastRenderedPageBreak/>
        <w:t>第</w:t>
      </w:r>
      <w:r w:rsidR="00AC6285">
        <w:rPr>
          <w:rStyle w:val="1Char"/>
          <w:rFonts w:ascii="黑体" w:eastAsia="黑体" w:hAnsi="黑体" w:hint="eastAsia"/>
          <w:b w:val="0"/>
        </w:rPr>
        <w:t>四</w:t>
      </w:r>
      <w:r>
        <w:rPr>
          <w:rStyle w:val="1Char"/>
          <w:rFonts w:ascii="黑体" w:eastAsia="黑体" w:hAnsi="黑体" w:hint="eastAsia"/>
          <w:b w:val="0"/>
        </w:rPr>
        <w:t>部分 附表</w:t>
      </w:r>
      <w:bookmarkStart w:id="54" w:name="_Toc15396619"/>
      <w:bookmarkEnd w:id="52"/>
      <w:bookmarkEnd w:id="53"/>
    </w:p>
    <w:p w:rsidR="009679CE" w:rsidRDefault="00857F15">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4"/>
    </w:p>
    <w:p w:rsidR="009679CE" w:rsidRDefault="00857F15">
      <w:pPr>
        <w:pStyle w:val="2"/>
        <w:rPr>
          <w:rFonts w:ascii="仿宋" w:eastAsia="仿宋" w:hAnsi="仿宋"/>
        </w:rPr>
      </w:pPr>
      <w:bookmarkStart w:id="55" w:name="_Toc15396620"/>
      <w:r>
        <w:rPr>
          <w:rFonts w:ascii="仿宋" w:eastAsia="仿宋" w:hAnsi="仿宋" w:hint="eastAsia"/>
          <w:b w:val="0"/>
        </w:rPr>
        <w:t>二、收</w:t>
      </w:r>
      <w:r>
        <w:rPr>
          <w:rStyle w:val="2Char"/>
          <w:rFonts w:ascii="仿宋" w:eastAsia="仿宋" w:hAnsi="仿宋" w:hint="eastAsia"/>
        </w:rPr>
        <w:t>入决算表</w:t>
      </w:r>
      <w:bookmarkEnd w:id="55"/>
    </w:p>
    <w:p w:rsidR="009679CE" w:rsidRDefault="00857F15">
      <w:pPr>
        <w:pStyle w:val="2"/>
        <w:rPr>
          <w:rFonts w:ascii="仿宋" w:eastAsia="仿宋" w:hAnsi="仿宋"/>
        </w:rPr>
      </w:pPr>
      <w:bookmarkStart w:id="56"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6"/>
    </w:p>
    <w:p w:rsidR="009679CE" w:rsidRDefault="00857F15">
      <w:pPr>
        <w:pStyle w:val="2"/>
        <w:rPr>
          <w:rFonts w:ascii="仿宋" w:eastAsia="仿宋" w:hAnsi="仿宋"/>
          <w:b w:val="0"/>
        </w:rPr>
      </w:pPr>
      <w:bookmarkStart w:id="57"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7"/>
    </w:p>
    <w:p w:rsidR="009679CE" w:rsidRDefault="00857F15">
      <w:pPr>
        <w:pStyle w:val="2"/>
        <w:rPr>
          <w:rStyle w:val="2Char"/>
          <w:rFonts w:ascii="仿宋" w:eastAsia="仿宋" w:hAnsi="仿宋"/>
        </w:rPr>
      </w:pPr>
      <w:bookmarkStart w:id="58"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9" w:name="_Toc15396624"/>
      <w:bookmarkEnd w:id="58"/>
    </w:p>
    <w:p w:rsidR="009679CE" w:rsidRDefault="00857F15">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9"/>
    </w:p>
    <w:p w:rsidR="009679CE" w:rsidRDefault="00857F15">
      <w:pPr>
        <w:pStyle w:val="2"/>
        <w:rPr>
          <w:rFonts w:ascii="仿宋" w:eastAsia="仿宋" w:hAnsi="仿宋"/>
        </w:rPr>
      </w:pPr>
      <w:bookmarkStart w:id="60"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0"/>
    </w:p>
    <w:p w:rsidR="009679CE" w:rsidRDefault="00857F15">
      <w:pPr>
        <w:pStyle w:val="2"/>
        <w:rPr>
          <w:rFonts w:ascii="仿宋" w:eastAsia="仿宋" w:hAnsi="仿宋"/>
        </w:rPr>
      </w:pPr>
      <w:bookmarkStart w:id="61"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1"/>
    </w:p>
    <w:p w:rsidR="009679CE" w:rsidRDefault="00857F15">
      <w:pPr>
        <w:pStyle w:val="2"/>
        <w:rPr>
          <w:rFonts w:ascii="仿宋" w:eastAsia="仿宋" w:hAnsi="仿宋"/>
        </w:rPr>
      </w:pPr>
      <w:bookmarkStart w:id="6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2"/>
    </w:p>
    <w:p w:rsidR="009679CE" w:rsidRDefault="00857F15">
      <w:pPr>
        <w:pStyle w:val="2"/>
        <w:rPr>
          <w:rFonts w:ascii="仿宋" w:eastAsia="仿宋" w:hAnsi="仿宋"/>
        </w:rPr>
      </w:pPr>
      <w:bookmarkStart w:id="63"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3"/>
    </w:p>
    <w:p w:rsidR="009679CE" w:rsidRDefault="00857F15">
      <w:pPr>
        <w:pStyle w:val="2"/>
        <w:rPr>
          <w:rFonts w:ascii="仿宋" w:eastAsia="仿宋" w:hAnsi="仿宋"/>
        </w:rPr>
      </w:pPr>
      <w:bookmarkStart w:id="64"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4"/>
    </w:p>
    <w:p w:rsidR="009679CE" w:rsidRDefault="00857F15">
      <w:pPr>
        <w:pStyle w:val="2"/>
        <w:rPr>
          <w:rFonts w:ascii="仿宋" w:eastAsia="仿宋" w:hAnsi="仿宋"/>
        </w:rPr>
      </w:pPr>
      <w:bookmarkStart w:id="65"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5"/>
    </w:p>
    <w:p w:rsidR="009679CE" w:rsidRDefault="00857F15">
      <w:pPr>
        <w:pStyle w:val="2"/>
        <w:rPr>
          <w:rStyle w:val="2Char"/>
          <w:rFonts w:ascii="仿宋" w:eastAsia="仿宋" w:hAnsi="仿宋"/>
        </w:rPr>
      </w:pPr>
      <w:bookmarkStart w:id="66"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6"/>
    </w:p>
    <w:p w:rsidR="009679CE" w:rsidRDefault="00857F15">
      <w:pPr>
        <w:rPr>
          <w:rFonts w:eastAsia="仿宋"/>
        </w:rPr>
      </w:pPr>
      <w:r>
        <w:rPr>
          <w:rStyle w:val="2Char"/>
          <w:rFonts w:ascii="仿宋" w:eastAsia="仿宋" w:hAnsi="仿宋" w:hint="eastAsia"/>
          <w:b w:val="0"/>
          <w:bCs w:val="0"/>
        </w:rPr>
        <w:t>十四、国有资本经营预算财政拨款支出决算表</w:t>
      </w:r>
    </w:p>
    <w:sectPr w:rsidR="009679CE">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BA" w:rsidRDefault="000D6BBA">
      <w:r>
        <w:separator/>
      </w:r>
    </w:p>
  </w:endnote>
  <w:endnote w:type="continuationSeparator" w:id="0">
    <w:p w:rsidR="000D6BBA" w:rsidRDefault="000D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9679CE" w:rsidRDefault="00857F15">
        <w:pPr>
          <w:pStyle w:val="a5"/>
          <w:jc w:val="center"/>
        </w:pPr>
        <w:r>
          <w:fldChar w:fldCharType="begin"/>
        </w:r>
        <w:r>
          <w:instrText>PAGE   \* MERGEFORMAT</w:instrText>
        </w:r>
        <w:r>
          <w:fldChar w:fldCharType="separate"/>
        </w:r>
        <w:r w:rsidR="0039577F" w:rsidRPr="0039577F">
          <w:rPr>
            <w:noProof/>
            <w:lang w:val="zh-CN"/>
          </w:rPr>
          <w:t>5</w:t>
        </w:r>
        <w:r>
          <w:fldChar w:fldCharType="end"/>
        </w:r>
      </w:p>
    </w:sdtContent>
  </w:sdt>
  <w:p w:rsidR="009679CE" w:rsidRDefault="009679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BA" w:rsidRDefault="000D6BBA">
      <w:r>
        <w:separator/>
      </w:r>
    </w:p>
  </w:footnote>
  <w:footnote w:type="continuationSeparator" w:id="0">
    <w:p w:rsidR="000D6BBA" w:rsidRDefault="000D6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CE" w:rsidRDefault="009679C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6BBA"/>
    <w:rsid w:val="000E6613"/>
    <w:rsid w:val="000E7119"/>
    <w:rsid w:val="0010353B"/>
    <w:rsid w:val="00114E9B"/>
    <w:rsid w:val="00142216"/>
    <w:rsid w:val="00144D6A"/>
    <w:rsid w:val="0014729F"/>
    <w:rsid w:val="00157BAB"/>
    <w:rsid w:val="001654D1"/>
    <w:rsid w:val="00174518"/>
    <w:rsid w:val="0018106D"/>
    <w:rsid w:val="001877A7"/>
    <w:rsid w:val="00191536"/>
    <w:rsid w:val="00196687"/>
    <w:rsid w:val="001A7638"/>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5F4"/>
    <w:rsid w:val="00335A74"/>
    <w:rsid w:val="0036561B"/>
    <w:rsid w:val="0037013F"/>
    <w:rsid w:val="00380C92"/>
    <w:rsid w:val="0039577F"/>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0F00"/>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1D4E"/>
    <w:rsid w:val="005A6187"/>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0E12"/>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5F00"/>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57F15"/>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79CE"/>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B21"/>
    <w:rsid w:val="00AB64C9"/>
    <w:rsid w:val="00AC3C6A"/>
    <w:rsid w:val="00AC6285"/>
    <w:rsid w:val="00AD3877"/>
    <w:rsid w:val="00AD5620"/>
    <w:rsid w:val="00AD656B"/>
    <w:rsid w:val="00AD7C1B"/>
    <w:rsid w:val="00AE16BA"/>
    <w:rsid w:val="00AE1EBE"/>
    <w:rsid w:val="00B03C9D"/>
    <w:rsid w:val="00B060AE"/>
    <w:rsid w:val="00B06EE4"/>
    <w:rsid w:val="00B10517"/>
    <w:rsid w:val="00B14E76"/>
    <w:rsid w:val="00B161B8"/>
    <w:rsid w:val="00B2048C"/>
    <w:rsid w:val="00B310B9"/>
    <w:rsid w:val="00B35F3F"/>
    <w:rsid w:val="00B36CBB"/>
    <w:rsid w:val="00B425E0"/>
    <w:rsid w:val="00B440AA"/>
    <w:rsid w:val="00B44B70"/>
    <w:rsid w:val="00B51E43"/>
    <w:rsid w:val="00B53C56"/>
    <w:rsid w:val="00B57DAF"/>
    <w:rsid w:val="00B77EA6"/>
    <w:rsid w:val="00B81598"/>
    <w:rsid w:val="00B841F1"/>
    <w:rsid w:val="00B944D6"/>
    <w:rsid w:val="00B947E0"/>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7890"/>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4DAD"/>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6CD7"/>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2020年</c:v>
                </c:pt>
              </c:strCache>
            </c:strRef>
          </c:tx>
          <c:invertIfNegative val="0"/>
          <c:dLbls>
            <c:showLegendKey val="0"/>
            <c:showVal val="1"/>
            <c:showCatName val="0"/>
            <c:showSerName val="0"/>
            <c:showPercent val="0"/>
            <c:showBubbleSize val="0"/>
            <c:showLeaderLines val="0"/>
          </c:dLbls>
          <c:cat>
            <c:strRef>
              <c:f>Sheet1!$A$2:$A$5</c:f>
              <c:strCache>
                <c:ptCount val="4"/>
                <c:pt idx="0">
                  <c:v>预算收入</c:v>
                </c:pt>
                <c:pt idx="1">
                  <c:v>其中；财政拨款收入</c:v>
                </c:pt>
                <c:pt idx="2">
                  <c:v>其他收入</c:v>
                </c:pt>
                <c:pt idx="3">
                  <c:v>预算支出</c:v>
                </c:pt>
              </c:strCache>
            </c:strRef>
          </c:cat>
          <c:val>
            <c:numRef>
              <c:f>Sheet1!$B$2:$B$5</c:f>
              <c:numCache>
                <c:formatCode>General</c:formatCode>
                <c:ptCount val="4"/>
                <c:pt idx="0">
                  <c:v>1370.34</c:v>
                </c:pt>
                <c:pt idx="1">
                  <c:v>1368.84</c:v>
                </c:pt>
                <c:pt idx="2">
                  <c:v>1.5</c:v>
                </c:pt>
                <c:pt idx="3">
                  <c:v>1370.34</c:v>
                </c:pt>
              </c:numCache>
            </c:numRef>
          </c:val>
        </c:ser>
        <c:ser>
          <c:idx val="1"/>
          <c:order val="1"/>
          <c:tx>
            <c:strRef>
              <c:f>Sheet1!$C$1</c:f>
              <c:strCache>
                <c:ptCount val="1"/>
                <c:pt idx="0">
                  <c:v>2021年</c:v>
                </c:pt>
              </c:strCache>
            </c:strRef>
          </c:tx>
          <c:invertIfNegative val="0"/>
          <c:dLbls>
            <c:showLegendKey val="0"/>
            <c:showVal val="1"/>
            <c:showCatName val="0"/>
            <c:showSerName val="0"/>
            <c:showPercent val="0"/>
            <c:showBubbleSize val="0"/>
            <c:showLeaderLines val="0"/>
          </c:dLbls>
          <c:cat>
            <c:strRef>
              <c:f>Sheet1!$A$2:$A$5</c:f>
              <c:strCache>
                <c:ptCount val="4"/>
                <c:pt idx="0">
                  <c:v>预算收入</c:v>
                </c:pt>
                <c:pt idx="1">
                  <c:v>其中；财政拨款收入</c:v>
                </c:pt>
                <c:pt idx="2">
                  <c:v>其他收入</c:v>
                </c:pt>
                <c:pt idx="3">
                  <c:v>预算支出</c:v>
                </c:pt>
              </c:strCache>
            </c:strRef>
          </c:cat>
          <c:val>
            <c:numRef>
              <c:f>Sheet1!$C$2:$C$5</c:f>
              <c:numCache>
                <c:formatCode>General</c:formatCode>
                <c:ptCount val="4"/>
                <c:pt idx="0">
                  <c:v>1609.8</c:v>
                </c:pt>
                <c:pt idx="1">
                  <c:v>1609.8</c:v>
                </c:pt>
                <c:pt idx="3">
                  <c:v>1609.8</c:v>
                </c:pt>
              </c:numCache>
            </c:numRef>
          </c:val>
        </c:ser>
        <c:dLbls>
          <c:showLegendKey val="0"/>
          <c:showVal val="0"/>
          <c:showCatName val="0"/>
          <c:showSerName val="0"/>
          <c:showPercent val="0"/>
          <c:showBubbleSize val="0"/>
        </c:dLbls>
        <c:gapWidth val="150"/>
        <c:axId val="525174656"/>
        <c:axId val="525176192"/>
      </c:barChart>
      <c:catAx>
        <c:axId val="525174656"/>
        <c:scaling>
          <c:orientation val="minMax"/>
        </c:scaling>
        <c:delete val="0"/>
        <c:axPos val="b"/>
        <c:majorTickMark val="out"/>
        <c:minorTickMark val="none"/>
        <c:tickLblPos val="nextTo"/>
        <c:crossAx val="525176192"/>
        <c:crosses val="autoZero"/>
        <c:auto val="1"/>
        <c:lblAlgn val="ctr"/>
        <c:lblOffset val="100"/>
        <c:noMultiLvlLbl val="0"/>
      </c:catAx>
      <c:valAx>
        <c:axId val="525176192"/>
        <c:scaling>
          <c:orientation val="minMax"/>
        </c:scaling>
        <c:delete val="0"/>
        <c:axPos val="l"/>
        <c:majorGridlines/>
        <c:numFmt formatCode="General" sourceLinked="1"/>
        <c:majorTickMark val="out"/>
        <c:minorTickMark val="none"/>
        <c:tickLblPos val="nextTo"/>
        <c:crossAx val="52517465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Sheet1!$A$16</c:f>
              <c:strCache>
                <c:ptCount val="1"/>
                <c:pt idx="0">
                  <c:v>一般财政拨款收入</c:v>
                </c:pt>
              </c:strCache>
            </c:strRef>
          </c:tx>
          <c:dLbls>
            <c:dLbl>
              <c:idx val="0"/>
              <c:layout>
                <c:manualLayout>
                  <c:x val="-2.5001093613298338E-2"/>
                  <c:y val="-0.27893518518518517"/>
                </c:manualLayout>
              </c:layout>
              <c:showLegendKey val="0"/>
              <c:showVal val="0"/>
              <c:showCatName val="0"/>
              <c:showSerName val="1"/>
              <c:showPercent val="1"/>
              <c:showBubbleSize val="0"/>
            </c:dLbl>
            <c:showLegendKey val="0"/>
            <c:showVal val="0"/>
            <c:showCatName val="0"/>
            <c:showSerName val="0"/>
            <c:showPercent val="1"/>
            <c:showBubbleSize val="0"/>
            <c:showLeaderLines val="1"/>
          </c:dLbls>
          <c:val>
            <c:numRef>
              <c:f>Sheet1!$B$16</c:f>
              <c:numCache>
                <c:formatCode>General</c:formatCode>
                <c:ptCount val="1"/>
                <c:pt idx="0">
                  <c:v>1609.8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Sheet1!$A$16</c:f>
              <c:strCache>
                <c:ptCount val="1"/>
                <c:pt idx="0">
                  <c:v>基本支出</c:v>
                </c:pt>
              </c:strCache>
            </c:strRef>
          </c:tx>
          <c:dLbls>
            <c:dLbl>
              <c:idx val="0"/>
              <c:layout>
                <c:manualLayout>
                  <c:x val="-2.5001093613298338E-2"/>
                  <c:y val="-0.27893518518518517"/>
                </c:manualLayout>
              </c:layout>
              <c:showLegendKey val="0"/>
              <c:showVal val="0"/>
              <c:showCatName val="0"/>
              <c:showSerName val="1"/>
              <c:showPercent val="1"/>
              <c:showBubbleSize val="0"/>
            </c:dLbl>
            <c:showLegendKey val="0"/>
            <c:showVal val="0"/>
            <c:showCatName val="0"/>
            <c:showSerName val="0"/>
            <c:showPercent val="1"/>
            <c:showBubbleSize val="0"/>
            <c:showLeaderLines val="1"/>
          </c:dLbls>
          <c:val>
            <c:numRef>
              <c:f>Sheet1!$B$16</c:f>
              <c:numCache>
                <c:formatCode>General</c:formatCode>
                <c:ptCount val="1"/>
                <c:pt idx="0">
                  <c:v>1609.8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2020年</c:v>
                </c:pt>
              </c:strCache>
            </c:strRef>
          </c:tx>
          <c:invertIfNegative val="0"/>
          <c:dLbls>
            <c:showLegendKey val="0"/>
            <c:showVal val="1"/>
            <c:showCatName val="0"/>
            <c:showSerName val="0"/>
            <c:showPercent val="0"/>
            <c:showBubbleSize val="0"/>
            <c:showLeaderLines val="0"/>
          </c:dLbls>
          <c:cat>
            <c:strRef>
              <c:f>Sheet1!$A$2:$A$5</c:f>
              <c:strCache>
                <c:ptCount val="4"/>
                <c:pt idx="0">
                  <c:v>预算收入</c:v>
                </c:pt>
                <c:pt idx="1">
                  <c:v>其中；财政拨款收入</c:v>
                </c:pt>
                <c:pt idx="2">
                  <c:v>其他收入</c:v>
                </c:pt>
                <c:pt idx="3">
                  <c:v>预算支出</c:v>
                </c:pt>
              </c:strCache>
            </c:strRef>
          </c:cat>
          <c:val>
            <c:numRef>
              <c:f>Sheet1!$B$2:$B$5</c:f>
              <c:numCache>
                <c:formatCode>General</c:formatCode>
                <c:ptCount val="4"/>
                <c:pt idx="0">
                  <c:v>1370.34</c:v>
                </c:pt>
                <c:pt idx="1">
                  <c:v>1368.84</c:v>
                </c:pt>
                <c:pt idx="2">
                  <c:v>1.5</c:v>
                </c:pt>
                <c:pt idx="3">
                  <c:v>1370.34</c:v>
                </c:pt>
              </c:numCache>
            </c:numRef>
          </c:val>
        </c:ser>
        <c:ser>
          <c:idx val="1"/>
          <c:order val="1"/>
          <c:tx>
            <c:strRef>
              <c:f>Sheet1!$C$1</c:f>
              <c:strCache>
                <c:ptCount val="1"/>
                <c:pt idx="0">
                  <c:v>2021年</c:v>
                </c:pt>
              </c:strCache>
            </c:strRef>
          </c:tx>
          <c:invertIfNegative val="0"/>
          <c:dLbls>
            <c:showLegendKey val="0"/>
            <c:showVal val="1"/>
            <c:showCatName val="0"/>
            <c:showSerName val="0"/>
            <c:showPercent val="0"/>
            <c:showBubbleSize val="0"/>
            <c:showLeaderLines val="0"/>
          </c:dLbls>
          <c:cat>
            <c:strRef>
              <c:f>Sheet1!$A$2:$A$5</c:f>
              <c:strCache>
                <c:ptCount val="4"/>
                <c:pt idx="0">
                  <c:v>预算收入</c:v>
                </c:pt>
                <c:pt idx="1">
                  <c:v>其中；财政拨款收入</c:v>
                </c:pt>
                <c:pt idx="2">
                  <c:v>其他收入</c:v>
                </c:pt>
                <c:pt idx="3">
                  <c:v>预算支出</c:v>
                </c:pt>
              </c:strCache>
            </c:strRef>
          </c:cat>
          <c:val>
            <c:numRef>
              <c:f>Sheet1!$C$2:$C$5</c:f>
              <c:numCache>
                <c:formatCode>General</c:formatCode>
                <c:ptCount val="4"/>
                <c:pt idx="0">
                  <c:v>1609.8</c:v>
                </c:pt>
                <c:pt idx="1">
                  <c:v>1609.8</c:v>
                </c:pt>
                <c:pt idx="3">
                  <c:v>1609.8</c:v>
                </c:pt>
              </c:numCache>
            </c:numRef>
          </c:val>
        </c:ser>
        <c:dLbls>
          <c:showLegendKey val="0"/>
          <c:showVal val="0"/>
          <c:showCatName val="0"/>
          <c:showSerName val="0"/>
          <c:showPercent val="0"/>
          <c:showBubbleSize val="0"/>
        </c:dLbls>
        <c:gapWidth val="150"/>
        <c:axId val="250139392"/>
        <c:axId val="250140928"/>
      </c:barChart>
      <c:catAx>
        <c:axId val="250139392"/>
        <c:scaling>
          <c:orientation val="minMax"/>
        </c:scaling>
        <c:delete val="0"/>
        <c:axPos val="b"/>
        <c:majorTickMark val="out"/>
        <c:minorTickMark val="none"/>
        <c:tickLblPos val="nextTo"/>
        <c:crossAx val="250140928"/>
        <c:crosses val="autoZero"/>
        <c:auto val="1"/>
        <c:lblAlgn val="ctr"/>
        <c:lblOffset val="100"/>
        <c:noMultiLvlLbl val="0"/>
      </c:catAx>
      <c:valAx>
        <c:axId val="250140928"/>
        <c:scaling>
          <c:orientation val="minMax"/>
        </c:scaling>
        <c:delete val="0"/>
        <c:axPos val="l"/>
        <c:majorGridlines/>
        <c:numFmt formatCode="General" sourceLinked="1"/>
        <c:majorTickMark val="out"/>
        <c:minorTickMark val="none"/>
        <c:tickLblPos val="nextTo"/>
        <c:crossAx val="25013939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Sheet1!$A$21</c:f>
              <c:strCache>
                <c:ptCount val="1"/>
                <c:pt idx="0">
                  <c:v>一般公共财政拨款支出</c:v>
                </c:pt>
              </c:strCache>
            </c:strRef>
          </c:tx>
          <c:invertIfNegative val="0"/>
          <c:dLbls>
            <c:showLegendKey val="0"/>
            <c:showVal val="1"/>
            <c:showCatName val="0"/>
            <c:showSerName val="0"/>
            <c:showPercent val="0"/>
            <c:showBubbleSize val="0"/>
            <c:showLeaderLines val="0"/>
          </c:dLbls>
          <c:cat>
            <c:strRef>
              <c:f>Sheet1!$B$20:$C$20</c:f>
              <c:strCache>
                <c:ptCount val="2"/>
                <c:pt idx="0">
                  <c:v>2020年</c:v>
                </c:pt>
                <c:pt idx="1">
                  <c:v>2021年</c:v>
                </c:pt>
              </c:strCache>
            </c:strRef>
          </c:cat>
          <c:val>
            <c:numRef>
              <c:f>Sheet1!$B$21:$C$21</c:f>
              <c:numCache>
                <c:formatCode>General</c:formatCode>
                <c:ptCount val="2"/>
                <c:pt idx="0">
                  <c:v>1368.84</c:v>
                </c:pt>
                <c:pt idx="1">
                  <c:v>1609.8</c:v>
                </c:pt>
              </c:numCache>
            </c:numRef>
          </c:val>
        </c:ser>
        <c:dLbls>
          <c:showLegendKey val="0"/>
          <c:showVal val="0"/>
          <c:showCatName val="0"/>
          <c:showSerName val="0"/>
          <c:showPercent val="0"/>
          <c:showBubbleSize val="0"/>
        </c:dLbls>
        <c:gapWidth val="150"/>
        <c:axId val="227567872"/>
        <c:axId val="227594240"/>
      </c:barChart>
      <c:catAx>
        <c:axId val="227567872"/>
        <c:scaling>
          <c:orientation val="minMax"/>
        </c:scaling>
        <c:delete val="0"/>
        <c:axPos val="b"/>
        <c:majorTickMark val="out"/>
        <c:minorTickMark val="none"/>
        <c:tickLblPos val="nextTo"/>
        <c:crossAx val="227594240"/>
        <c:crosses val="autoZero"/>
        <c:auto val="1"/>
        <c:lblAlgn val="ctr"/>
        <c:lblOffset val="100"/>
        <c:noMultiLvlLbl val="0"/>
      </c:catAx>
      <c:valAx>
        <c:axId val="227594240"/>
        <c:scaling>
          <c:orientation val="minMax"/>
        </c:scaling>
        <c:delete val="0"/>
        <c:axPos val="l"/>
        <c:majorGridlines/>
        <c:numFmt formatCode="General" sourceLinked="1"/>
        <c:majorTickMark val="out"/>
        <c:minorTickMark val="none"/>
        <c:tickLblPos val="nextTo"/>
        <c:crossAx val="22756787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321752037082105"/>
          <c:y val="1.8641631116099667E-2"/>
          <c:w val="0.37927997492962712"/>
          <c:h val="0.88099416300647759"/>
        </c:manualLayout>
      </c:layout>
      <c:pieChart>
        <c:varyColors val="1"/>
        <c:ser>
          <c:idx val="0"/>
          <c:order val="0"/>
          <c:cat>
            <c:strRef>
              <c:f>Sheet1!$A$25:$A$28</c:f>
              <c:strCache>
                <c:ptCount val="4"/>
                <c:pt idx="0">
                  <c:v>社会保障和就业支出</c:v>
                </c:pt>
                <c:pt idx="1">
                  <c:v>卫生健康支出</c:v>
                </c:pt>
                <c:pt idx="2">
                  <c:v>资源勘探工业信息等支出</c:v>
                </c:pt>
                <c:pt idx="3">
                  <c:v>住房保障支出</c:v>
                </c:pt>
              </c:strCache>
            </c:strRef>
          </c:cat>
          <c:val>
            <c:numRef>
              <c:f>Sheet1!$B$25:$B$28</c:f>
              <c:numCache>
                <c:formatCode>0.00_ </c:formatCode>
                <c:ptCount val="4"/>
                <c:pt idx="0">
                  <c:v>579.25691700000004</c:v>
                </c:pt>
                <c:pt idx="1">
                  <c:v>68.22</c:v>
                </c:pt>
                <c:pt idx="2">
                  <c:v>806.66880000000003</c:v>
                </c:pt>
                <c:pt idx="3">
                  <c:v>155.65170000000001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837642169728783"/>
          <c:y val="0.22068678915135609"/>
          <c:w val="0.32495691163604551"/>
          <c:h val="0.5586264216972878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643</Words>
  <Characters>3671</Characters>
  <Application>Microsoft Office Word</Application>
  <DocSecurity>0</DocSecurity>
  <Lines>30</Lines>
  <Paragraphs>8</Paragraphs>
  <ScaleCrop>false</ScaleCrop>
  <Company>四川省财政厅</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44</cp:revision>
  <cp:lastPrinted>2022-08-06T02:23:00Z</cp:lastPrinted>
  <dcterms:created xsi:type="dcterms:W3CDTF">2020-08-05T01:49:00Z</dcterms:created>
  <dcterms:modified xsi:type="dcterms:W3CDTF">2022-11-11T03:20:00Z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